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A3D" w:rsidRDefault="006A5ACA">
      <w:pPr>
        <w:keepNext/>
        <w:spacing w:after="60"/>
        <w:jc w:val="center"/>
        <w:rPr>
          <w:b/>
          <w:szCs w:val="24"/>
        </w:rPr>
      </w:pPr>
      <w:r>
        <w:rPr>
          <w:b/>
          <w:szCs w:val="24"/>
        </w:rPr>
        <w:t>Usefulness, Trust, and Intention to Use M-Banking:</w:t>
      </w:r>
    </w:p>
    <w:p w:rsidR="00765A3D" w:rsidRDefault="006A5ACA">
      <w:pPr>
        <w:keepNext/>
        <w:spacing w:after="60"/>
        <w:jc w:val="center"/>
        <w:rPr>
          <w:b/>
          <w:szCs w:val="24"/>
        </w:rPr>
      </w:pPr>
      <w:r>
        <w:rPr>
          <w:b/>
          <w:szCs w:val="24"/>
        </w:rPr>
        <w:t>Evidence from Metropolitan Jakarta</w:t>
      </w:r>
    </w:p>
    <w:p w:rsidR="00765A3D" w:rsidRDefault="00765A3D">
      <w:pPr>
        <w:keepNext/>
        <w:spacing w:after="60"/>
        <w:jc w:val="both"/>
        <w:rPr>
          <w:b/>
          <w:szCs w:val="24"/>
        </w:rPr>
      </w:pPr>
    </w:p>
    <w:p w:rsidR="007105B6" w:rsidRDefault="006A5ACA" w:rsidP="007105B6">
      <w:pPr>
        <w:jc w:val="center"/>
        <w:rPr>
          <w:b/>
          <w:sz w:val="20"/>
        </w:rPr>
      </w:pPr>
      <w:r>
        <w:rPr>
          <w:b/>
          <w:sz w:val="20"/>
        </w:rPr>
        <w:t xml:space="preserve">Muhammad </w:t>
      </w:r>
      <w:proofErr w:type="spellStart"/>
      <w:r>
        <w:rPr>
          <w:b/>
          <w:sz w:val="20"/>
        </w:rPr>
        <w:t>Khaerul</w:t>
      </w:r>
      <w:proofErr w:type="spellEnd"/>
      <w:r>
        <w:rPr>
          <w:b/>
          <w:sz w:val="20"/>
        </w:rPr>
        <w:t xml:space="preserve"> Muttaqien1</w:t>
      </w:r>
      <w:r>
        <w:rPr>
          <w:b/>
          <w:sz w:val="20"/>
          <w:vertAlign w:val="superscript"/>
        </w:rPr>
        <w:t>1)</w:t>
      </w:r>
      <w:r>
        <w:rPr>
          <w:b/>
          <w:sz w:val="20"/>
        </w:rPr>
        <w:t>,</w:t>
      </w:r>
      <w:r w:rsidR="00BF7838">
        <w:rPr>
          <w:b/>
          <w:sz w:val="20"/>
        </w:rPr>
        <w:t xml:space="preserve"> </w:t>
      </w:r>
      <w:proofErr w:type="spellStart"/>
      <w:r w:rsidR="00BF7838">
        <w:rPr>
          <w:b/>
          <w:sz w:val="20"/>
        </w:rPr>
        <w:t>Hamli</w:t>
      </w:r>
      <w:proofErr w:type="spellEnd"/>
      <w:r w:rsidR="00BF7838">
        <w:rPr>
          <w:b/>
          <w:sz w:val="20"/>
        </w:rPr>
        <w:t xml:space="preserve"> Syaifullah2</w:t>
      </w:r>
      <w:r w:rsidR="00BF7838">
        <w:rPr>
          <w:b/>
          <w:sz w:val="20"/>
          <w:vertAlign w:val="superscript"/>
        </w:rPr>
        <w:t>2</w:t>
      </w:r>
      <w:r>
        <w:rPr>
          <w:b/>
          <w:sz w:val="20"/>
          <w:vertAlign w:val="superscript"/>
        </w:rPr>
        <w:t>)</w:t>
      </w:r>
      <w:r w:rsidR="00BF7838">
        <w:rPr>
          <w:b/>
          <w:sz w:val="20"/>
          <w:vertAlign w:val="superscript"/>
        </w:rPr>
        <w:t>,</w:t>
      </w:r>
      <w:r w:rsidR="00BF7838">
        <w:rPr>
          <w:b/>
          <w:sz w:val="20"/>
        </w:rPr>
        <w:t xml:space="preserve">  </w:t>
      </w:r>
    </w:p>
    <w:p w:rsidR="00765A3D" w:rsidRPr="007105B6" w:rsidRDefault="00BF7838" w:rsidP="007105B6">
      <w:pPr>
        <w:jc w:val="center"/>
        <w:rPr>
          <w:b/>
          <w:sz w:val="20"/>
        </w:rPr>
      </w:pPr>
      <w:proofErr w:type="spellStart"/>
      <w:proofErr w:type="gramStart"/>
      <w:r>
        <w:rPr>
          <w:b/>
          <w:sz w:val="20"/>
        </w:rPr>
        <w:t>Moh</w:t>
      </w:r>
      <w:proofErr w:type="spellEnd"/>
      <w:r>
        <w:rPr>
          <w:b/>
          <w:sz w:val="20"/>
        </w:rPr>
        <w:t>.</w:t>
      </w:r>
      <w:proofErr w:type="gramEnd"/>
      <w:r>
        <w:rPr>
          <w:b/>
          <w:sz w:val="20"/>
        </w:rPr>
        <w:t xml:space="preserve"> </w:t>
      </w:r>
      <w:proofErr w:type="spellStart"/>
      <w:r>
        <w:rPr>
          <w:b/>
          <w:sz w:val="20"/>
        </w:rPr>
        <w:t>Khoirul</w:t>
      </w:r>
      <w:proofErr w:type="spellEnd"/>
      <w:r>
        <w:rPr>
          <w:b/>
          <w:sz w:val="20"/>
        </w:rPr>
        <w:t xml:space="preserve"> Anam3</w:t>
      </w:r>
      <w:r>
        <w:rPr>
          <w:b/>
          <w:sz w:val="20"/>
          <w:vertAlign w:val="superscript"/>
        </w:rPr>
        <w:t>3</w:t>
      </w:r>
      <w:r>
        <w:rPr>
          <w:b/>
          <w:sz w:val="20"/>
          <w:vertAlign w:val="superscript"/>
        </w:rPr>
        <w:t>)</w:t>
      </w:r>
      <w:r w:rsidR="007105B6">
        <w:rPr>
          <w:b/>
          <w:sz w:val="20"/>
        </w:rPr>
        <w:t xml:space="preserve"> </w:t>
      </w:r>
      <w:proofErr w:type="spellStart"/>
      <w:r>
        <w:rPr>
          <w:b/>
          <w:sz w:val="20"/>
        </w:rPr>
        <w:t>Tajudin</w:t>
      </w:r>
      <w:proofErr w:type="spellEnd"/>
      <w:r>
        <w:rPr>
          <w:b/>
          <w:sz w:val="20"/>
        </w:rPr>
        <w:t xml:space="preserve"> </w:t>
      </w:r>
      <w:proofErr w:type="spellStart"/>
      <w:r>
        <w:rPr>
          <w:b/>
          <w:sz w:val="20"/>
        </w:rPr>
        <w:t>Mas’ud</w:t>
      </w:r>
      <w:proofErr w:type="spellEnd"/>
      <w:r>
        <w:rPr>
          <w:b/>
          <w:sz w:val="20"/>
        </w:rPr>
        <w:t xml:space="preserve"> 4</w:t>
      </w:r>
      <w:r>
        <w:rPr>
          <w:b/>
          <w:sz w:val="20"/>
          <w:vertAlign w:val="superscript"/>
        </w:rPr>
        <w:t>4</w:t>
      </w:r>
      <w:r>
        <w:rPr>
          <w:b/>
          <w:sz w:val="20"/>
          <w:vertAlign w:val="superscript"/>
        </w:rPr>
        <w:t>)</w:t>
      </w:r>
      <w:r>
        <w:rPr>
          <w:b/>
          <w:sz w:val="20"/>
        </w:rPr>
        <w:t>,</w:t>
      </w:r>
    </w:p>
    <w:p w:rsidR="00765A3D" w:rsidRDefault="00765A3D">
      <w:pPr>
        <w:jc w:val="center"/>
        <w:rPr>
          <w:sz w:val="20"/>
          <w:vertAlign w:val="superscript"/>
        </w:rPr>
      </w:pPr>
    </w:p>
    <w:p w:rsidR="00765A3D" w:rsidRDefault="006A5ACA">
      <w:pPr>
        <w:jc w:val="center"/>
        <w:rPr>
          <w:sz w:val="20"/>
        </w:rPr>
      </w:pPr>
      <w:r>
        <w:rPr>
          <w:sz w:val="20"/>
          <w:vertAlign w:val="superscript"/>
        </w:rPr>
        <w:t>1</w:t>
      </w:r>
      <w:proofErr w:type="gramStart"/>
      <w:r>
        <w:rPr>
          <w:sz w:val="20"/>
          <w:vertAlign w:val="superscript"/>
        </w:rPr>
        <w:t>,2,3,4</w:t>
      </w:r>
      <w:r>
        <w:rPr>
          <w:sz w:val="20"/>
        </w:rPr>
        <w:t>Fakultas</w:t>
      </w:r>
      <w:proofErr w:type="gramEnd"/>
      <w:r>
        <w:rPr>
          <w:sz w:val="20"/>
        </w:rPr>
        <w:t xml:space="preserve"> Agama Islam </w:t>
      </w:r>
      <w:proofErr w:type="spellStart"/>
      <w:r>
        <w:rPr>
          <w:sz w:val="20"/>
        </w:rPr>
        <w:t>Universitas</w:t>
      </w:r>
      <w:proofErr w:type="spellEnd"/>
      <w:r>
        <w:rPr>
          <w:sz w:val="20"/>
        </w:rPr>
        <w:t xml:space="preserve"> </w:t>
      </w:r>
      <w:proofErr w:type="spellStart"/>
      <w:r>
        <w:rPr>
          <w:sz w:val="20"/>
        </w:rPr>
        <w:t>Muhammadiyah</w:t>
      </w:r>
      <w:proofErr w:type="spellEnd"/>
      <w:r>
        <w:rPr>
          <w:sz w:val="20"/>
        </w:rPr>
        <w:t xml:space="preserve"> Jakarta </w:t>
      </w:r>
    </w:p>
    <w:p w:rsidR="00765A3D" w:rsidRDefault="006A5ACA">
      <w:pPr>
        <w:pStyle w:val="PageNumber1"/>
        <w:rPr>
          <w:rFonts w:ascii="Times New Roman" w:hAnsi="Times New Roman"/>
          <w:sz w:val="20"/>
        </w:rPr>
      </w:pPr>
      <w:r>
        <w:rPr>
          <w:rFonts w:ascii="Times New Roman" w:hAnsi="Times New Roman"/>
          <w:sz w:val="20"/>
          <w:lang w:val="id-ID"/>
        </w:rPr>
        <w:t>E-</w:t>
      </w:r>
      <w:r>
        <w:rPr>
          <w:rFonts w:ascii="Times New Roman" w:hAnsi="Times New Roman"/>
          <w:sz w:val="20"/>
        </w:rPr>
        <w:t xml:space="preserve">mail: </w:t>
      </w:r>
      <w:hyperlink r:id="rId9" w:history="1">
        <w:r>
          <w:rPr>
            <w:rStyle w:val="Hyperlink"/>
            <w:rFonts w:ascii="Times New Roman" w:hAnsi="Times New Roman"/>
            <w:sz w:val="20"/>
          </w:rPr>
          <w:t>muhammadkhaerulmuttaqien@umj.ac.id</w:t>
        </w:r>
      </w:hyperlink>
      <w:r>
        <w:rPr>
          <w:rFonts w:ascii="Times New Roman" w:hAnsi="Times New Roman"/>
          <w:sz w:val="20"/>
        </w:rPr>
        <w:t xml:space="preserve"> </w:t>
      </w:r>
    </w:p>
    <w:p w:rsidR="00765A3D" w:rsidRDefault="00765A3D">
      <w:pPr>
        <w:spacing w:after="120"/>
        <w:jc w:val="center"/>
        <w:rPr>
          <w:b/>
          <w:i/>
          <w:sz w:val="22"/>
          <w:szCs w:val="22"/>
        </w:rPr>
      </w:pPr>
    </w:p>
    <w:p w:rsidR="00765A3D" w:rsidRDefault="006A5ACA">
      <w:pPr>
        <w:spacing w:after="120"/>
        <w:jc w:val="center"/>
        <w:rPr>
          <w:b/>
          <w:i/>
          <w:sz w:val="22"/>
          <w:szCs w:val="22"/>
        </w:rPr>
      </w:pPr>
      <w:r>
        <w:rPr>
          <w:b/>
          <w:i/>
          <w:sz w:val="22"/>
          <w:szCs w:val="22"/>
        </w:rPr>
        <w:t xml:space="preserve">Abstract </w:t>
      </w:r>
    </w:p>
    <w:p w:rsidR="00765A3D" w:rsidRDefault="006A5ACA">
      <w:pPr>
        <w:keepNext/>
        <w:spacing w:after="60"/>
        <w:jc w:val="both"/>
        <w:rPr>
          <w:i/>
          <w:iCs/>
          <w:szCs w:val="24"/>
        </w:rPr>
      </w:pPr>
      <w:r>
        <w:rPr>
          <w:i/>
          <w:iCs/>
          <w:szCs w:val="24"/>
        </w:rPr>
        <w:t>This study aimed to investigate the determinants of perceived usefulness, tru</w:t>
      </w:r>
      <w:r w:rsidR="007105B6">
        <w:rPr>
          <w:i/>
          <w:iCs/>
          <w:szCs w:val="24"/>
        </w:rPr>
        <w:t>st</w:t>
      </w:r>
      <w:r>
        <w:rPr>
          <w:i/>
          <w:iCs/>
          <w:szCs w:val="24"/>
        </w:rPr>
        <w:t xml:space="preserve"> and intention to use mobile banking. It used the extended Technology Acceptance Model (TAM) with additional variables of perceived risk and trust as a theoretical model. Furthermore, the study adopted quantitative method and purposive sampling technique to obtain data from 265 Muslim individuals residing in the Jakarta Metropolitan area. The results suggested that trust, perceived ease of use, and risk positively and significantly impacted intention to use M-Banking. Perceived usefulness and ease of use positively and significantly impacted trust. Perceived ease of use and risk had a positive and significant impact on perceived usefulness. Therefore, Islamic banks needed to pay attention to these factors to enhance trust and acceptance of M-Banking.</w:t>
      </w:r>
    </w:p>
    <w:p w:rsidR="00765A3D" w:rsidRDefault="00765A3D">
      <w:pPr>
        <w:keepNext/>
        <w:spacing w:after="60"/>
        <w:jc w:val="both"/>
        <w:rPr>
          <w:i/>
          <w:iCs/>
          <w:szCs w:val="24"/>
        </w:rPr>
      </w:pPr>
    </w:p>
    <w:p w:rsidR="00765A3D" w:rsidRDefault="006A5ACA">
      <w:pPr>
        <w:keepNext/>
        <w:spacing w:after="60"/>
        <w:jc w:val="both"/>
        <w:rPr>
          <w:bCs/>
          <w:i/>
          <w:iCs/>
          <w:szCs w:val="24"/>
        </w:rPr>
      </w:pPr>
      <w:r>
        <w:rPr>
          <w:b/>
          <w:i/>
          <w:iCs/>
          <w:szCs w:val="24"/>
        </w:rPr>
        <w:t xml:space="preserve">Keywords: </w:t>
      </w:r>
      <w:r>
        <w:rPr>
          <w:bCs/>
          <w:i/>
          <w:iCs/>
          <w:szCs w:val="24"/>
        </w:rPr>
        <w:t>TAM, Risk, Trust, Ease of Use, Usefulness, Intention</w:t>
      </w:r>
    </w:p>
    <w:p w:rsidR="00765A3D" w:rsidRDefault="00765A3D">
      <w:pPr>
        <w:keepNext/>
        <w:spacing w:after="60"/>
        <w:jc w:val="both"/>
        <w:rPr>
          <w:bCs/>
          <w:i/>
          <w:iCs/>
          <w:szCs w:val="24"/>
        </w:rPr>
      </w:pPr>
    </w:p>
    <w:p w:rsidR="00765A3D" w:rsidRDefault="006A5ACA">
      <w:pPr>
        <w:pStyle w:val="Heading1"/>
        <w:numPr>
          <w:ilvl w:val="0"/>
          <w:numId w:val="1"/>
        </w:numPr>
        <w:suppressAutoHyphens/>
        <w:spacing w:after="60"/>
        <w:ind w:left="360"/>
        <w:rPr>
          <w:i w:val="0"/>
          <w:iCs/>
          <w:sz w:val="22"/>
          <w:szCs w:val="22"/>
        </w:rPr>
      </w:pPr>
      <w:r>
        <w:rPr>
          <w:i w:val="0"/>
          <w:iCs/>
          <w:sz w:val="22"/>
          <w:szCs w:val="22"/>
        </w:rPr>
        <w:t>INTRODUCTION</w:t>
      </w:r>
    </w:p>
    <w:p w:rsidR="007105B6" w:rsidRDefault="006A5ACA" w:rsidP="007105B6">
      <w:pPr>
        <w:shd w:val="clear" w:color="auto" w:fill="FFFFFF"/>
        <w:spacing w:before="120"/>
        <w:ind w:firstLine="720"/>
        <w:jc w:val="both"/>
        <w:rPr>
          <w:szCs w:val="24"/>
        </w:rPr>
      </w:pPr>
      <w:r>
        <w:rPr>
          <w:szCs w:val="24"/>
        </w:rPr>
        <w:t xml:space="preserve">Advanced technology has transformed numerous aspects of daily life, including transaction patterns for individuals and corporations </w:t>
      </w:r>
      <w:r>
        <w:rPr>
          <w:szCs w:val="24"/>
        </w:rPr>
        <w:fldChar w:fldCharType="begin" w:fldLock="1"/>
      </w:r>
      <w:r>
        <w:rPr>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Kata","author":[{"dropping-particle":"","family":"OJK","given":"","non-dropping-particle":"","parse-names":false,"suffix":""}],"container-title":"Ojk","id":"ITEM-1","issue":"April","issued":{"date-parts":[["2020"]]},"page":"1-54","title":"Cetak Biru Transformasi Digital Perbankan","type":"article-journal","volume":"13"},"uris":["http://www.mendeley.com/documents/?uuid=285e84ca-5b60-4d63-ba3a-b91280454448"]}],"mendeley":{"formattedCitation":"(OJK, 2020)","plainTextFormattedCitation":"(OJK, 2020)","previouslyFormattedCitation":"(OJK, 2020)"},"properties":{"noteIndex":0},"schema":"https://github.com/citation-style-language/schema/raw/master/csl-citation.json"}</w:instrText>
      </w:r>
      <w:r>
        <w:rPr>
          <w:szCs w:val="24"/>
        </w:rPr>
        <w:fldChar w:fldCharType="separate"/>
      </w:r>
      <w:r w:rsidRPr="006A5ACA">
        <w:rPr>
          <w:noProof/>
          <w:szCs w:val="24"/>
        </w:rPr>
        <w:t>(OJK, 2020)</w:t>
      </w:r>
      <w:r>
        <w:rPr>
          <w:szCs w:val="24"/>
        </w:rPr>
        <w:fldChar w:fldCharType="end"/>
      </w:r>
      <w:r>
        <w:rPr>
          <w:szCs w:val="24"/>
        </w:rPr>
        <w:t xml:space="preserve">. This transformation has prompted conventional and Islamic banks to digitize their transactions and services through mobile banking (M-Banking) to achieve a competitive advantage </w:t>
      </w:r>
      <w:r>
        <w:rPr>
          <w:szCs w:val="24"/>
        </w:rPr>
        <w:fldChar w:fldCharType="begin" w:fldLock="1"/>
      </w:r>
      <w:r>
        <w:rPr>
          <w:szCs w:val="24"/>
        </w:rPr>
        <w:instrText>ADDIN CSL_CITATION {"citationItems":[{"id":"ITEM-1","itemData":{"DOI":"10.1108/JIMA-11-2016-0082","ISSN":"17590841","abstract":"Purpose: Tremendous growth and worldwide expansion of Islamic banking industry has gained widespread attention of economist, bankers, investors and financial experts regardless of economic and political volatility in global banking industry. To compete with conventional banking, Islamic banks are setting up themselves with innovative technologies to gain competitive edge and market share. The establishment of mobile banking has been proven a technological wonder by eliminating time and space boundaries, and one can access financial services anywhere and at any time. For effective market segmentation, recognizing gender differences in factors affecting the adoption patterns of m-banking may provide competitive edge. Therefore, this paper aims to investigate how gender differences impact the intention to adopt Islamic mobile banking in Pakistan. Design/methodology/approach: The study uses extended technology acceptance model (TAM) on final 243 participants from Pakistan. Confirmatory factor analysis (CFA) and structural equation modeling (SEM) methodology has been applied for data analysis using SPSS 21 and AMOS 21. Findings: Results have identified two interesting and different models for males and females in intention to adopt Islamic mobile banking. It is inferred that males are more task driven and desire for personality, value and status, so their intention is significantly impacted by perceived usefulness and perceived self-expressiveness. Whereas, females have found lack of IT knowledge and trust; therefore, their intention is significantly impacted by perceived credibility. However, the perceived financial cost was found of no concern for both males and females and social norms influenced the adoption, but there existed no significant gender differences. Originality/value: The contribution of this study to existing literature is twofold. First, the existing research on mobile banking has mainly applied TAM on conventional banking overlooking the important ethnic group, the Muslims, who prefer Islamic banking. Second, the impact of gender differences is investigated in factors affecting intention to adopt Islamic mobile banking that has not been studied previously. The study fills the gap.","author":[{"dropping-particle":"","family":"Haider","given":"Muhammad Jamal","non-dropping-particle":"","parse-names":false,"suffix":""},{"dropping-particle":"","family":"Changchun","given":"Gao","non-dropping-particle":"","parse-names":false,"suffix":""},{"dropping-particle":"","family":"Akram","given":"Tayyaba","non-dropping-particle":"","parse-names":false,"suffix":""},{"dropping-particle":"","family":"Hussain","given":"Syed Talib","non-dropping-particle":"","parse-names":false,"suffix":""}],"container-title":"Journal of Islamic Marketing","id":"ITEM-1","issue":"2","issued":{"date-parts":[["2018"]]},"page":"439-460","title":"Does gender differences play any role in intention to adopt Islamic mobile banking in Pakistan?: An empirical study","type":"article-journal","volume":"9"},"uris":["http://www.mendeley.com/documents/?uuid=4a91e582-9af0-468e-a0ba-4db39c6c1038"]},{"id":"ITEM-2","itemData":{"DOI":"10.20885/jeki.vol5.iss2.art2","ISSN":"20889968","abstract":"… third most important contribution is made by Asia with an overall share of 21.9 per cent from mainly Malaysia, Indonesia, Pakistan and … was in evolutionary phase, and owing to this fact, a number of concerns arouse over the application of Islamic banking and finance …","author":[{"dropping-particle":"","family":"Kholid","given":"Muamar Nur","non-dropping-particle":"","parse-names":false,"suffix":""}],"container-title":"Jurnal Ekonomi &amp; Keuangan Islam","id":"ITEM-2","issue":"2","issued":{"date-parts":[["2019"]]},"page":"53-62","title":"Determinants of intention to use Islamic mobile banking: Evidence from millennial generation","type":"article-journal","volume":"5"},"uris":["http://www.mendeley.com/documents/?uuid=1c5e9880-c8fc-4118-8878-f7ea509b9a14"]},{"id":"ITEM-3","itemData":{"DOI":"10.21511/bbs.17(2).2022.12","author":[{"dropping-particle":"","family":"Sudarsono","given":"Heri","non-dropping-particle":"","parse-names":false,"suffix":""},{"dropping-particle":"","family":"Kholid","given":"Muamar Nur","non-dropping-particle":"","parse-names":false,"suffix":""},{"dropping-particle":"","family":"Trisanty","given":"Aidha","non-dropping-particle":"","parse-names":false,"suffix":""},{"dropping-particle":"","family":"Ash Shidiqie","given":"Jannahar Saddam","non-dropping-particle":"","parse-names":false,"suffix":""},{"dropping-particle":"","family":"Suseno","given":"Priyonggo","non-dropping-particle":"","parse-names":false,"suffix":""}],"container-title":"Bank and Bank System","id":"ITEM-3","issue":"2","issued":{"date-parts":[["2022"]]},"title":"Examining the adoption of mobile banking : Empirical evidence from Indonesian Muslim students","type":"article-journal","volume":"17"},"uris":["http://www.mendeley.com/documents/?uuid=6b34000f-86d4-41a2-8d60-1b86f95eddbe"]}],"mendeley":{"formattedCitation":"(Haider et al., 2018; Kholid, 2019; Sudarsono et al., 2022)","manualFormatting":"(Haider et al., 2018; Kholid, 2019)","plainTextFormattedCitation":"(Haider et al., 2018; Kholid, 2019; Sudarsono et al., 2022)","previouslyFormattedCitation":"(Haider et al., 2018; Kholid, 2019; Sudarsono et al., 2022)"},"properties":{"noteIndex":0},"schema":"https://github.com/citation-style-language/schema/raw/master/csl-citation.json"}</w:instrText>
      </w:r>
      <w:r>
        <w:rPr>
          <w:szCs w:val="24"/>
        </w:rPr>
        <w:fldChar w:fldCharType="separate"/>
      </w:r>
      <w:r w:rsidRPr="006A5ACA">
        <w:rPr>
          <w:noProof/>
          <w:szCs w:val="24"/>
        </w:rPr>
        <w:t>(Haider et al., 2018; Kholid, 2019)</w:t>
      </w:r>
      <w:r>
        <w:rPr>
          <w:szCs w:val="24"/>
        </w:rPr>
        <w:fldChar w:fldCharType="end"/>
      </w:r>
      <w:r>
        <w:rPr>
          <w:szCs w:val="24"/>
        </w:rPr>
        <w:t xml:space="preserve">. Despite the numerous benefits of digital transactions and services, some individuals still view them as unfamiliar and risky. To address these concerns and promote the acceptance of M-Banking, many banks are creating more attractive, useful, and easy-to-use services  </w:t>
      </w:r>
      <w:r>
        <w:rPr>
          <w:szCs w:val="24"/>
        </w:rPr>
        <w:fldChar w:fldCharType="begin" w:fldLock="1"/>
      </w:r>
      <w:r>
        <w:rPr>
          <w:szCs w:val="24"/>
        </w:rPr>
        <w:instrText>ADDIN CSL_CITATION {"citationItems":[{"id":"ITEM-1","itemData":{"DOI":"10.21511/bbs.17(2).2022.12","author":[{"dropping-particle":"","family":"Sudarsono","given":"Heri","non-dropping-particle":"","parse-names":false,"suffix":""},{"dropping-particle":"","family":"Kholid","given":"Muamar Nur","non-dropping-particle":"","parse-names":false,"suffix":""},{"dropping-particle":"","family":"Trisanty","given":"Aidha","non-dropping-particle":"","parse-names":false,"suffix":""},{"dropping-particle":"","family":"Ash Shidiqie","given":"Jannahar Saddam","non-dropping-particle":"","parse-names":false,"suffix":""},{"dropping-particle":"","family":"Suseno","given":"Priyonggo","non-dropping-particle":"","parse-names":false,"suffix":""}],"container-title":"Bank and Bank System","id":"ITEM-1","issue":"2","issued":{"date-parts":[["2022"]]},"title":"Examining the adoption of mobile banking : Empirical evidence from Indonesian Muslim students","type":"article-journal","volume":"17"},"uris":["http://www.mendeley.com/documents/?uuid=6b34000f-86d4-41a2-8d60-1b86f95eddbe"]}],"mendeley":{"formattedCitation":"(Sudarsono et al., 2022)","plainTextFormattedCitation":"(Sudarsono et al., 2022)","previouslyFormattedCitation":"(Sudarsono et al., 2022)"},"properties":{"noteIndex":0},"schema":"https://github.com/citation-style-language/schema/raw/master/csl-citation.json"}</w:instrText>
      </w:r>
      <w:r>
        <w:rPr>
          <w:szCs w:val="24"/>
        </w:rPr>
        <w:fldChar w:fldCharType="separate"/>
      </w:r>
      <w:r w:rsidRPr="006A5ACA">
        <w:rPr>
          <w:noProof/>
          <w:szCs w:val="24"/>
        </w:rPr>
        <w:t>(Sudarsono et al., 2022)</w:t>
      </w:r>
      <w:r>
        <w:rPr>
          <w:szCs w:val="24"/>
        </w:rPr>
        <w:fldChar w:fldCharType="end"/>
      </w:r>
      <w:r>
        <w:rPr>
          <w:szCs w:val="24"/>
        </w:rPr>
        <w:t xml:space="preserve">. To promote acceptance amidst the negative trend of technology usage, it is essential to investigate the factors that affect perceived usefulness, trust, and acceptance of M-Banking in Indonesia. </w:t>
      </w:r>
    </w:p>
    <w:p w:rsidR="007105B6" w:rsidRDefault="006A5ACA" w:rsidP="007105B6">
      <w:pPr>
        <w:shd w:val="clear" w:color="auto" w:fill="FFFFFF"/>
        <w:spacing w:before="120"/>
        <w:ind w:firstLine="720"/>
        <w:jc w:val="both"/>
        <w:rPr>
          <w:szCs w:val="24"/>
        </w:rPr>
      </w:pPr>
      <w:r>
        <w:rPr>
          <w:szCs w:val="24"/>
        </w:rPr>
        <w:t xml:space="preserve">Several studies have modified the Technology Acceptance Model (TAM) by incorporating other variables such as trust </w:t>
      </w:r>
      <w:r>
        <w:rPr>
          <w:szCs w:val="24"/>
        </w:rPr>
        <w:fldChar w:fldCharType="begin" w:fldLock="1"/>
      </w:r>
      <w:r>
        <w:rPr>
          <w:szCs w:val="24"/>
        </w:rPr>
        <w:instrText>ADDIN CSL_CITATION {"citationItems":[{"id":"ITEM-1","itemData":{"author":[{"dropping-particle":"","family":"Mutahar","given":"Ahmed M","non-dropping-particle":"","parse-names":false,"suffix":""},{"dropping-particle":"","family":"Isaac","given":"Osama","non-dropping-particle":"","parse-names":false,"suffix":""},{"dropping-particle":"","family":"Ghosh","given":"Abhijit","non-dropping-particle":"","parse-names":false,"suffix":""},{"dropping-particle":"","family":"Al-shibami","given":"Ahmed Hamoud","non-dropping-particle":"","parse-names":false,"suffix":""}],"container-title":"International Journal of Management and Human Science","id":"ITEM-1","issue":"1","issued":{"date-parts":[["2018"]]},"page":"1-8","title":"Perceived Value as Moderator Variabel in Mobile Banking Context : an Extension of Technology Acceptance Model","type":"article-journal","volume":"2"},"uris":["http://www.mendeley.com/documents/?uuid=7a17b65d-12db-47ab-8688-5af28c6b7ecf"]},{"id":"ITEM-2","itemData":{"DOI":"10.13106/jafeb.2021.vol8.no1.353","author":[{"dropping-particle":"","family":"Ramli","given":"Yanto","non-dropping-particle":"","parse-names":false,"suffix":""},{"dropping-particle":"","family":"Harwani","given":"Yuli","non-dropping-particle":"","parse-names":false,"suffix":""},{"dropping-particle":"","family":"Soelton","given":"Mochamad","non-dropping-particle":"","parse-names":false,"suffix":""},{"dropping-particle":"","family":"Hariani","given":"Swarmilah","non-dropping-particle":"","parse-names":false,"suffix":""},{"dropping-particle":"","family":"Usman","given":"Fadlil","non-dropping-particle":"","parse-names":false,"suffix":""}],"container-title":"Journal of Asian Finance, Economics and Business","id":"ITEM-2","issue":"1","issued":{"date-parts":[["2021"]]},"page":"353-361","title":"The Implication of Trust that Influences Customers ’ Intention to Use Mobile Banking","type":"article-journal","volume":"8"},"uris":["http://www.mendeley.com/documents/?uuid=86308d68-c690-4fd2-ba20-73e4597754aa"]}],"mendeley":{"formattedCitation":"(Mutahar et al., 2018; Ramli et al., 2021)","plainTextFormattedCitation":"(Mutahar et al., 2018; Ramli et al., 2021)","previouslyFormattedCitation":"(Mutahar et al., 2018; Ramli et al., 2021)"},"properties":{"noteIndex":0},"schema":"https://github.com/citation-style-language/schema/raw/master/csl-citation.json"}</w:instrText>
      </w:r>
      <w:r>
        <w:rPr>
          <w:szCs w:val="24"/>
        </w:rPr>
        <w:fldChar w:fldCharType="separate"/>
      </w:r>
      <w:r w:rsidRPr="006A5ACA">
        <w:rPr>
          <w:noProof/>
          <w:szCs w:val="24"/>
        </w:rPr>
        <w:t>(Mutahar et al., 2018; Ramli et al., 2021)</w:t>
      </w:r>
      <w:r>
        <w:rPr>
          <w:szCs w:val="24"/>
        </w:rPr>
        <w:fldChar w:fldCharType="end"/>
      </w:r>
      <w:r>
        <w:rPr>
          <w:szCs w:val="24"/>
        </w:rPr>
        <w:t xml:space="preserve"> and perceived risk </w:t>
      </w:r>
      <w:r>
        <w:rPr>
          <w:szCs w:val="24"/>
        </w:rPr>
        <w:fldChar w:fldCharType="begin" w:fldLock="1"/>
      </w:r>
      <w:r w:rsidR="00417C0D">
        <w:rPr>
          <w:szCs w:val="24"/>
        </w:rPr>
        <w:instrText>ADDIN CSL_CITATION {"citationItems":[{"id":"ITEM-1","itemData":{"author":[{"dropping-particle":"","family":"Alalwan","given":"Ali Abdallah","non-dropping-particle":"","parse-names":false,"suffix":""},{"dropping-particle":"","family":"Yogesh K. Dwivedi","given":"Nripendra P. Rana and Michael D. Williams","non-dropping-particle":"","parse-names":false,"suffix":""}],"container-title":"Journal of Enterprise Information Management","id":"ITEM-1","issue":"1","issued":{"date-parts":[["2016"]]},"page":"118-139","title":"Consumer adoption of mobile banking in Jordan : Examining the role of usefulness , ease of use , perceived risk and self-efficacy","type":"article-journal","volume":"29"},"uris":["http://www.mendeley.com/documents/?uuid=4c6b8f27-9a37-4a9c-b68c-c93dfeb40a52"]}],"mendeley":{"formattedCitation":"(Alalwan &amp; Yogesh K. Dwivedi, 2016)","plainTextFormattedCitation":"(Alalwan &amp; Yogesh K. Dwivedi, 2016)","previouslyFormattedCitation":"(A. A. Alalwan &amp; Yogesh K. Dwivedi, 2016)"},"properties":{"noteIndex":0},"schema":"https://github.com/citation-style-language/schema/raw/master/csl-citation.json"}</w:instrText>
      </w:r>
      <w:r>
        <w:rPr>
          <w:szCs w:val="24"/>
        </w:rPr>
        <w:fldChar w:fldCharType="separate"/>
      </w:r>
      <w:r w:rsidR="00417C0D" w:rsidRPr="00417C0D">
        <w:rPr>
          <w:noProof/>
          <w:szCs w:val="24"/>
        </w:rPr>
        <w:t>(Alalwan &amp; Yogesh K. Dwivedi, 2016)</w:t>
      </w:r>
      <w:r>
        <w:rPr>
          <w:szCs w:val="24"/>
        </w:rPr>
        <w:fldChar w:fldCharType="end"/>
      </w:r>
      <w:r>
        <w:rPr>
          <w:szCs w:val="24"/>
        </w:rPr>
        <w:t xml:space="preserve"> to predict the intention  to use M-Banking. Studies from Iran </w:t>
      </w:r>
      <w:r>
        <w:rPr>
          <w:szCs w:val="24"/>
        </w:rPr>
        <w:fldChar w:fldCharType="begin" w:fldLock="1"/>
      </w:r>
      <w:r>
        <w:rPr>
          <w:szCs w:val="24"/>
        </w:rPr>
        <w:instrText>ADDIN CSL_CITATION {"citationItems":[{"id":"ITEM-1","itemData":{"DOI":"10.1016/j.tele.2012.11.001","ISSN":"0736-5853","author":[{"dropping-particle":"","family":"Hanafizadeh","given":"Payam","non-dropping-particle":"","parse-names":false,"suffix":""},{"dropping-particle":"","family":"Behboudi","given":"Mehdi","non-dropping-particle":"","parse-names":false,"suffix":""},{"dropping-particle":"","family":"Abedini","given":"Amir","non-dropping-particle":"","parse-names":false,"suffix":""},{"dropping-particle":"","family":"Jalilvand","given":"Marziyeh","non-dropping-particle":"","parse-names":false,"suffix":""},{"dropping-particle":"","family":"Tabar","given":"Shirkhani","non-dropping-particle":"","parse-names":false,"suffix":""}],"container-title":"Telematics and Informatics","id":"ITEM-1","issue":"1","issued":{"date-parts":[["2014"]]},"page":"62-78","publisher":"Elsevier Ltd","title":"Mobile-banking adoption by Iranian bank clients","type":"article-journal","volume":"31"},"uris":["http://www.mendeley.com/documents/?uuid=252a7ef4-e530-472e-8a3f-1cf39a059754"]}],"mendeley":{"formattedCitation":"(Hanafizadeh et al., 2014)","plainTextFormattedCitation":"(Hanafizadeh et al., 2014)","previouslyFormattedCitation":"(Hanafizadeh et al., 2014)"},"properties":{"noteIndex":0},"schema":"https://github.com/citation-style-language/schema/raw/master/csl-citation.json"}</w:instrText>
      </w:r>
      <w:r>
        <w:rPr>
          <w:szCs w:val="24"/>
        </w:rPr>
        <w:fldChar w:fldCharType="separate"/>
      </w:r>
      <w:r w:rsidRPr="006A5ACA">
        <w:rPr>
          <w:noProof/>
          <w:szCs w:val="24"/>
        </w:rPr>
        <w:t>(Hanafizadeh et al., 2014)</w:t>
      </w:r>
      <w:r>
        <w:rPr>
          <w:szCs w:val="24"/>
        </w:rPr>
        <w:fldChar w:fldCharType="end"/>
      </w:r>
      <w:r>
        <w:rPr>
          <w:szCs w:val="24"/>
        </w:rPr>
        <w:t xml:space="preserve"> Saudi Arabia </w:t>
      </w:r>
      <w:r>
        <w:rPr>
          <w:szCs w:val="24"/>
        </w:rPr>
        <w:fldChar w:fldCharType="begin" w:fldLock="1"/>
      </w:r>
      <w:r>
        <w:rPr>
          <w:szCs w:val="24"/>
        </w:rPr>
        <w:instrText>ADDIN CSL_CITATION {"citationItems":[{"id":"ITEM-1","itemData":{"author":[{"dropping-particle":"","family":"Al-Jabri","given":"I.M.","non-dropping-particle":"","parse-names":false,"suffix":""}],"container-title":"South African Journal of Business Management","id":"ITEM-1","issue":"1","issued":{"date-parts":[["2015"]]},"page":"23-34","title":"The intention to use mobile banking : Further evidence from Saudi Arabia","type":"article-journal","volume":"46"},"uris":["http://www.mendeley.com/documents/?uuid=f4780398-d4b0-457b-9386-07df70fc0744"]}],"mendeley":{"formattedCitation":"(Al-Jabri, 2015)","plainTextFormattedCitation":"(Al-Jabri, 2015)","previouslyFormattedCitation":"(Al-Jabri, 2015)"},"properties":{"noteIndex":0},"schema":"https://github.com/citation-style-language/schema/raw/master/csl-citation.json"}</w:instrText>
      </w:r>
      <w:r>
        <w:rPr>
          <w:szCs w:val="24"/>
        </w:rPr>
        <w:fldChar w:fldCharType="separate"/>
      </w:r>
      <w:r w:rsidRPr="006A5ACA">
        <w:rPr>
          <w:noProof/>
          <w:szCs w:val="24"/>
        </w:rPr>
        <w:t>(Al-Jabri, 2015)</w:t>
      </w:r>
      <w:r>
        <w:rPr>
          <w:szCs w:val="24"/>
        </w:rPr>
        <w:fldChar w:fldCharType="end"/>
      </w:r>
      <w:r>
        <w:rPr>
          <w:szCs w:val="24"/>
        </w:rPr>
        <w:t xml:space="preserve"> Jordan, </w:t>
      </w:r>
      <w:r>
        <w:rPr>
          <w:szCs w:val="24"/>
        </w:rPr>
        <w:fldChar w:fldCharType="begin" w:fldLock="1"/>
      </w:r>
      <w:r w:rsidR="00417C0D">
        <w:rPr>
          <w:szCs w:val="24"/>
        </w:rPr>
        <w:instrText>ADDIN CSL_CITATION {"citationItems":[{"id":"ITEM-1","itemData":{"author":[{"dropping-particle":"","family":"Alalwan","given":"Ali Abdallah","non-dropping-particle":"","parse-names":false,"suffix":""},{"dropping-particle":"","family":"Yogesh K. Dwivedi","given":"Nripendra P. Rana and Michael D. Williams","non-dropping-particle":"","parse-names":false,"suffix":""}],"container-title":"Journal of Enterprise Information Management","id":"ITEM-1","issue":"1","issued":{"date-parts":[["2016"]]},"page":"118-139","title":"Consumer adoption of mobile banking in Jordan : Examining the role of usefulness , ease of use , perceived risk and self-efficacy","type":"article-journal","volume":"29"},"uris":["http://www.mendeley.com/documents/?uuid=4c6b8f27-9a37-4a9c-b68c-c93dfeb40a52"]}],"mendeley":{"formattedCitation":"(Alalwan &amp; Yogesh K. Dwivedi, 2016)","plainTextFormattedCitation":"(Alalwan &amp; Yogesh K. Dwivedi, 2016)","previouslyFormattedCitation":"(A. Alalwan et al., 2016)"},"properties":{"noteIndex":0},"schema":"https://github.com/citation-style-language/schema/raw/master/csl-citation.json"}</w:instrText>
      </w:r>
      <w:r>
        <w:rPr>
          <w:szCs w:val="24"/>
        </w:rPr>
        <w:fldChar w:fldCharType="separate"/>
      </w:r>
      <w:r w:rsidR="00417C0D" w:rsidRPr="00417C0D">
        <w:rPr>
          <w:noProof/>
          <w:szCs w:val="24"/>
        </w:rPr>
        <w:t>(Alalwan &amp; Yogesh K. Dwivedi, 2016)</w:t>
      </w:r>
      <w:r>
        <w:rPr>
          <w:szCs w:val="24"/>
        </w:rPr>
        <w:fldChar w:fldCharType="end"/>
      </w:r>
      <w:r>
        <w:rPr>
          <w:szCs w:val="24"/>
        </w:rPr>
        <w:t xml:space="preserve"> and Vietnam </w:t>
      </w:r>
      <w:r>
        <w:rPr>
          <w:szCs w:val="24"/>
        </w:rPr>
        <w:fldChar w:fldCharType="begin" w:fldLock="1"/>
      </w:r>
      <w:r>
        <w:rPr>
          <w:szCs w:val="24"/>
        </w:rPr>
        <w:instrText>ADDIN CSL_CITATION {"citationItems":[{"id":"ITEM-1","itemData":{"DOI":"10.13106/jafeb.2021.vol8.no11.0157","author":[{"dropping-particle":"","family":"Sang","given":"Nguyen Minh","non-dropping-particle":"","parse-names":false,"suffix":""}],"container-title":"Journal of Asian Finance, Economics and Business","id":"ITEM-1","issue":"11","issued":{"date-parts":[["2021"]]},"page":"157-167","title":"Critical Factors Affecting Consumer Intention of Using Mobile Banking Applications During COVID-19 Pandemic : An Empirical Study from Vietnam *","type":"article-journal","volume":"8"},"uris":["http://www.mendeley.com/documents/?uuid=13a5090b-383e-4212-a2b1-644963ac8674"]}],"mendeley":{"formattedCitation":"(Sang, 2021)","plainTextFormattedCitation":"(Sang, 2021)","previouslyFormattedCitation":"(Sang, 2021)"},"properties":{"noteIndex":0},"schema":"https://github.com/citation-style-language/schema/raw/master/csl-citation.json"}</w:instrText>
      </w:r>
      <w:r>
        <w:rPr>
          <w:szCs w:val="24"/>
        </w:rPr>
        <w:fldChar w:fldCharType="separate"/>
      </w:r>
      <w:r w:rsidRPr="006A5ACA">
        <w:rPr>
          <w:noProof/>
          <w:szCs w:val="24"/>
        </w:rPr>
        <w:t>(Sang, 2021)</w:t>
      </w:r>
      <w:r>
        <w:rPr>
          <w:szCs w:val="24"/>
        </w:rPr>
        <w:fldChar w:fldCharType="end"/>
      </w:r>
      <w:r>
        <w:rPr>
          <w:szCs w:val="24"/>
        </w:rPr>
        <w:t xml:space="preserve"> have shown that trust has a positive and significant impact on the intention to use M-Banking. However, perceived risk had a negative impact on intention </w:t>
      </w:r>
      <w:r>
        <w:rPr>
          <w:szCs w:val="24"/>
        </w:rPr>
        <w:fldChar w:fldCharType="begin" w:fldLock="1"/>
      </w:r>
      <w:r w:rsidR="00417C0D">
        <w:rPr>
          <w:szCs w:val="24"/>
        </w:rPr>
        <w:instrText>ADDIN CSL_CITATION {"citationItems":[{"id":"ITEM-1","itemData":{"author":[{"dropping-particle":"","family":"Alalwan","given":"Ali Abdallah","non-dropping-particle":"","parse-names":false,"suffix":""},{"dropping-particle":"","family":"Yogesh K. Dwivedi","given":"Nripendra P. Rana and Michael D. Williams","non-dropping-particle":"","parse-names":false,"suffix":""}],"container-title":"Journal of Enterprise Information Management","id":"ITEM-1","issue":"1","issued":{"date-parts":[["2016"]]},"page":"118-139","title":"Consumer adoption of mobile banking in Jordan : Examining the role of usefulness , ease of use , perceived risk and self-efficacy","type":"article-journal","volume":"29"},"uris":["http://www.mendeley.com/documents/?uuid=4c6b8f27-9a37-4a9c-b68c-c93dfeb40a52"]},{"id":"ITEM-2","itemData":{"DOI":"10.20885/jeki.vol5.iss2.art2","ISSN":"20889968","abstract":"… third most important contribution is made by Asia with an overall share of 21.9 per cent from mainly Malaysia, Indonesia, Pakistan and … was in evolutionary phase, and owing to this fact, a number of concerns arouse over the application of Islamic banking and finance …","author":[{"dropping-particle":"","family":"Kholid","given":"Muamar Nur","non-dropping-particle":"","parse-names":false,"suffix":""}],"container-title":"Jurnal Ekonomi &amp; Keuangan Islam","id":"ITEM-2","issue":"2","issued":{"date-parts":[["2019"]]},"page":"53-62","title":"Determinants of intention to use Islamic mobile banking: Evidence from millennial generation","type":"article-journal","volume":"5"},"uris":["http://www.mendeley.com/documents/?uuid=1c5e9880-c8fc-4118-8878-f7ea509b9a14"]}],"mendeley":{"formattedCitation":"(Alalwan &amp; Yogesh K. Dwivedi, 2016; Kholid, 2019)","plainTextFormattedCitation":"(Alalwan &amp; Yogesh K. Dwivedi, 2016; Kholid, 2019)","previouslyFormattedCitation":"(A. Alalwan et al., 2016; Kholid, 2019)"},"properties":{"noteIndex":0},"schema":"https://github.com/citation-style-language/schema/raw/master/csl-citation.json"}</w:instrText>
      </w:r>
      <w:r>
        <w:rPr>
          <w:szCs w:val="24"/>
        </w:rPr>
        <w:fldChar w:fldCharType="separate"/>
      </w:r>
      <w:r w:rsidR="00417C0D" w:rsidRPr="00417C0D">
        <w:rPr>
          <w:noProof/>
          <w:szCs w:val="24"/>
        </w:rPr>
        <w:t>(Alalwan &amp; Yogesh K. Dwivedi, 2016; Kholid, 2019)</w:t>
      </w:r>
      <w:r>
        <w:rPr>
          <w:szCs w:val="24"/>
        </w:rPr>
        <w:fldChar w:fldCharType="end"/>
      </w:r>
      <w:r>
        <w:rPr>
          <w:szCs w:val="24"/>
        </w:rPr>
        <w:t>.</w:t>
      </w:r>
      <w:r w:rsidR="007105B6">
        <w:rPr>
          <w:szCs w:val="24"/>
        </w:rPr>
        <w:t xml:space="preserve"> </w:t>
      </w:r>
      <w:r>
        <w:rPr>
          <w:szCs w:val="24"/>
        </w:rPr>
        <w:t xml:space="preserve">Perceived usefulness and perceived ease of use have a positive and significant impact on trust and intention to use M-Banking </w:t>
      </w:r>
      <w:r>
        <w:rPr>
          <w:szCs w:val="24"/>
        </w:rPr>
        <w:fldChar w:fldCharType="begin" w:fldLock="1"/>
      </w:r>
      <w:r>
        <w:rPr>
          <w:szCs w:val="24"/>
        </w:rPr>
        <w:instrText>ADDIN CSL_CITATION {"citationItems":[{"id":"ITEM-1","itemData":{"DOI":"10.13106/jafeb.2021.vol8.no1.353","author":[{"dropping-particle":"","family":"Ramli","given":"Yanto","non-dropping-particle":"","parse-names":false,"suffix":""},{"dropping-particle":"","family":"Harwani","given":"Yuli","non-dropping-particle":"","parse-names":false,"suffix":""},{"dropping-particle":"","family":"Soelton","given":"Mochamad","non-dropping-particle":"","parse-names":false,"suffix":""},{"dropping-particle":"","family":"Hariani","given":"Swarmilah","non-dropping-particle":"","parse-names":false,"suffix":""},{"dropping-particle":"","family":"Usman","given":"Fadlil","non-dropping-particle":"","parse-names":false,"suffix":""}],"container-title":"Journal of Asian Finance, Economics and Business","id":"ITEM-1","issue":"1","issued":{"date-parts":[["2021"]]},"page":"353-361","title":"The Implication of Trust that Influences Customers ’ Intention to Use Mobile Banking","type":"article-journal","volume":"8"},"uris":["http://www.mendeley.com/documents/?uuid=86308d68-c690-4fd2-ba20-73e4597754aa"]}],"mendeley":{"formattedCitation":"(Ramli et al., 2021)","plainTextFormattedCitation":"(Ramli et al., 2021)","previouslyFormattedCitation":"(Ramli et al., 2021)"},"properties":{"noteIndex":0},"schema":"https://github.com/citation-style-language/schema/raw/master/csl-citation.json"}</w:instrText>
      </w:r>
      <w:r>
        <w:rPr>
          <w:szCs w:val="24"/>
        </w:rPr>
        <w:fldChar w:fldCharType="separate"/>
      </w:r>
      <w:r w:rsidRPr="006A5ACA">
        <w:rPr>
          <w:noProof/>
          <w:szCs w:val="24"/>
        </w:rPr>
        <w:t>(Ramli et al., 2021)</w:t>
      </w:r>
      <w:r>
        <w:rPr>
          <w:szCs w:val="24"/>
        </w:rPr>
        <w:fldChar w:fldCharType="end"/>
      </w:r>
      <w:r>
        <w:rPr>
          <w:szCs w:val="24"/>
        </w:rPr>
        <w:t xml:space="preserve">. </w:t>
      </w:r>
    </w:p>
    <w:p w:rsidR="00765A3D" w:rsidRDefault="006A5ACA" w:rsidP="007105B6">
      <w:pPr>
        <w:shd w:val="clear" w:color="auto" w:fill="FFFFFF"/>
        <w:spacing w:before="120"/>
        <w:ind w:firstLine="720"/>
        <w:jc w:val="both"/>
        <w:rPr>
          <w:szCs w:val="24"/>
        </w:rPr>
      </w:pPr>
      <w:r>
        <w:rPr>
          <w:szCs w:val="24"/>
        </w:rPr>
        <w:lastRenderedPageBreak/>
        <w:t xml:space="preserve">Additionally, perceived ease of use and risk can positively and significantly impact perceived usefulness </w:t>
      </w:r>
      <w:r>
        <w:rPr>
          <w:szCs w:val="24"/>
        </w:rPr>
        <w:fldChar w:fldCharType="begin" w:fldLock="1"/>
      </w:r>
      <w:r>
        <w:rPr>
          <w:szCs w:val="24"/>
        </w:rPr>
        <w:instrText>ADDIN CSL_CITATION {"citationItems":[{"id":"ITEM-1","itemData":{"DOI":"10.1177/2158244019844084","author":[{"dropping-particle":"","family":"Siyal","given":"Abdul Waheed","non-dropping-particle":"","parse-names":false,"suffix":""},{"dropping-particle":"","family":"Donghong","given":"Ding","non-dropping-particle":"","parse-names":false,"suffix":""},{"dropping-particle":"","family":"Umrani","given":"Waheed Ali","non-dropping-particle":"","parse-names":false,"suffix":""},{"dropping-particle":"","family":"Siyal","given":"Saeed","non-dropping-particle":"","parse-names":false,"suffix":""},{"dropping-particle":"","family":"Bhand","given":"Shaharbano","non-dropping-particle":"","parse-names":false,"suffix":""}],"container-title":"Original Research","id":"ITEM-1","issued":{"date-parts":[["2019"]]},"page":"1-21","title":"Predicting Mobile Banking Acceptance and Loyalty in Chinese Bank Customers","type":"article-journal"},"uris":["http://www.mendeley.com/documents/?uuid=b9aa517c-451c-4c01-8242-8415d503e4fc"]}],"mendeley":{"formattedCitation":"(Siyal et al., 2019)","plainTextFormattedCitation":"(Siyal et al., 2019)","previouslyFormattedCitation":"(Siyal et al., 2019)"},"properties":{"noteIndex":0},"schema":"https://github.com/citation-style-language/schema/raw/master/csl-citation.json"}</w:instrText>
      </w:r>
      <w:r>
        <w:rPr>
          <w:szCs w:val="24"/>
        </w:rPr>
        <w:fldChar w:fldCharType="separate"/>
      </w:r>
      <w:r w:rsidRPr="006A5ACA">
        <w:rPr>
          <w:noProof/>
          <w:szCs w:val="24"/>
        </w:rPr>
        <w:t>(Siyal et al., 2019)</w:t>
      </w:r>
      <w:r>
        <w:rPr>
          <w:szCs w:val="24"/>
        </w:rPr>
        <w:fldChar w:fldCharType="end"/>
      </w:r>
      <w:r>
        <w:rPr>
          <w:szCs w:val="24"/>
        </w:rPr>
        <w:t xml:space="preserve">. This study incorporates trust and perceived risk into TAM, and provides a literature review for all the variables. The study of M-Banking acceptance has attracted the attention of investigators for several decades. This interest is reflected in numerous studies, where the Technology Acceptance Model (TAM), introduced by Davis in 1989, became one of the widely used conceptual frameworks across different countries for predicting M-Banking acceptance. Perceived usefulness and ease of use are among the vital TAM factors that are often identified as the main predictors of M-Banking acceptance or intention to use </w:t>
      </w:r>
      <w:r>
        <w:rPr>
          <w:szCs w:val="24"/>
        </w:rPr>
        <w:fldChar w:fldCharType="begin" w:fldLock="1"/>
      </w:r>
      <w:r>
        <w:rPr>
          <w:szCs w:val="24"/>
        </w:rPr>
        <w:instrText>ADDIN CSL_CITATION {"citationItems":[{"id":"ITEM-1","itemData":{"author":[{"dropping-particle":"","family":"Nuangjamnong","given":"Chompu","non-dropping-particle":"","parse-names":false,"suffix":""}],"container-title":"International Journal of Economics and Business Administration","id":"ITEM-1","issue":"1","issued":{"date-parts":[["2021"]]},"page":"331-346","title":"Investigation of Factors Influencing Students ’ Intention to Use Banking Services through Smartphone Devices during COVID-19 Pandemic","type":"article-journal","volume":"9"},"uris":["http://www.mendeley.com/documents/?uuid=758181be-1168-48ec-b759-575349ba90d7"]}],"mendeley":{"formattedCitation":"(Nuangjamnong, 2021)","plainTextFormattedCitation":"(Nuangjamnong, 2021)","previouslyFormattedCitation":"(Nuangjamnong, 2021)"},"properties":{"noteIndex":0},"schema":"https://github.com/citation-style-language/schema/raw/master/csl-citation.json"}</w:instrText>
      </w:r>
      <w:r>
        <w:rPr>
          <w:szCs w:val="24"/>
        </w:rPr>
        <w:fldChar w:fldCharType="separate"/>
      </w:r>
      <w:r w:rsidRPr="006A5ACA">
        <w:rPr>
          <w:noProof/>
          <w:szCs w:val="24"/>
        </w:rPr>
        <w:t>(Nuangjamnong, 2021)</w:t>
      </w:r>
      <w:r>
        <w:rPr>
          <w:szCs w:val="24"/>
        </w:rPr>
        <w:fldChar w:fldCharType="end"/>
      </w:r>
      <w:r>
        <w:rPr>
          <w:szCs w:val="24"/>
        </w:rPr>
        <w:t xml:space="preserve">. Intention is an essential variable in technology acceptance and can be defined as the extent to which an individual consciously plans to engage in a specific behavior in the future </w:t>
      </w:r>
      <w:r>
        <w:rPr>
          <w:szCs w:val="24"/>
        </w:rPr>
        <w:fldChar w:fldCharType="begin" w:fldLock="1"/>
      </w:r>
      <w:r w:rsidR="000324B0">
        <w:rPr>
          <w:szCs w:val="24"/>
        </w:rPr>
        <w:instrText>ADDIN CSL_CITATION {"citationItems":[{"id":"ITEM-1","itemData":{"DOI":"10.21776/ub.apmba.2021.009.03.1","ISSN":"22528997","abstract":"This paper aims to analyze important factors influencing the intention and use of digital banking as perceived by consumers of the Indonesia commercial bank. This paper adopts variables in the unified theory of acceptance and use of technology 2 (UTAUT 2). The data was collected by distributing questionnaires to the 281 respondents by employed purposive sampling technique. To assessing the acceptance model, a structural equation approach based on Partial Least Squares (SEM-PLS) was used. The UTAUT2 model was proved adequate to explain digital banking behavior intention and usage. The findings demonstrated that habit is the highest variable that determines the behavioral intention and use behavior. Hedonic motivation and social influence also predict intention. Indonesia has a collectivist culture, which emphasizes the high value of the group, so opinions and information from others will affect people's intentions and actions. Surprisingly, effort expectancy, facilitating conditions, performance expectancy, and price value do not have a significant relationship which some possible reasons were explained further. In this article, practical impication also discussed.","author":[{"dropping-particle":"","family":"Anggraeni","given":"Rila","non-dropping-particle":"","parse-names":false,"suffix":""},{"dropping-particle":"","family":"Hapsari","given":"Raditha","non-dropping-particle":"","parse-names":false,"suffix":""},{"dropping-particle":"","family":"Muslim","given":"Noor Awanis","non-dropping-particle":"","parse-names":false,"suffix":""}],"container-title":"Asia Pacific Management and Business Application","id":"ITEM-1","issue":"03","issued":{"date-parts":[["2021"]]},"page":"193-210","title":"Examining Factors Influencing Consumers Intention and Usage of Digital Banking: Evidence from Indonesian Digital Banking Customers","type":"article-journal","volume":"009"},"uris":["http://www.mendeley.com/documents/?uuid=2b5839ec-5387-4b47-8645-ccfd98f2d48e"]},{"id":"ITEM-2","itemData":{"DOI":"10.3389/fpsyg.2019.01652","ISSN":"16641078","abstract":"This study developed and empirically tested a model to predict the factors affecting students' behavioral intentions toward using mobile learning (m-learning). This study explored the behavioral intention to use m-learning from the perspective of consumers by applying the extended unified theory of acceptance and use of technology (UTAUT) model with the addition of perceived enjoyment, mobile self-efficacy, satisfaction, trust, and perceived risk moderators. A cross-sectional study was conducted by employing a research model based on multiple technology acceptance theories. Data were derived from an online survey with 1,562 respondents and analyzed using structural equation modeling. Partial least squares (PLS) regression was used for model and hypothesis testing. The results revealed that (1) behavioral intention was significantly and positively influenced by satisfaction, trust, performance expectancy, and effort expectancy; (2) perceived enjoyment, performance expectancy, and effort expectancy had positive associations with behavioral intention; (3) mobile self-efficacy had a significantly positive effect on perceived enjoyment; and (4) perceived risk had a significantly negative moderating effect on the relationship between performance expectancy and behavioral intention. Our findings correspond with the UTAUT model and provide a practical reference for educational institutions and decision-makers involved in designing m-learning for implementation in universities.","author":[{"dropping-particle":"","family":"Chao","given":"Cheng Min","non-dropping-particle":"","parse-names":false,"suffix":""}],"container-title":"Frontiers in Psychology","id":"ITEM-2","issued":{"date-parts":[["2019"]]},"page":"1-14","title":"Factors determining the behavioral intention to use mobile learning: An application and extension of the UTAUT model","type":"article-journal","volume":"10"},"uris":["http://www.mendeley.com/documents/?uuid=f782a530-8537-4cf3-ae7f-bd952b16d6ec"]},{"id":"ITEM-3","itemData":{"DOI":"10.1108/JIMA-04-2017-0038","ISSN":"17590841","abstract":"Purpose: The purpose of this study is to examine the factors which affect mobile banking (M-banking) acceptance in Islamic banks of Pakistan by using the modified uniﬁed theory of acceptance and use of technology (UTAUT) model. The performance expectancy, facilitating conditions, social influence, effort expectancy, perceived value, habit and hedonic motivation are taken as independent variables. Similarly, the intention to adopt M-banking is taken as the mediator, and actual usage is used as the dependent variable. Design/methodology/approach: The data are collected by using the survey method, and the five-point Likert scale is used for this purpose. The statistical techniques applied to the dataset were confirmatory factor analysis and partial least square structure equation modeling. Findings: The empirical evidence shows that all the variables except for social influence have a significant positive effect on the intention which results in actual usage. Practical implications: This study will help the Islamic banks in boosting the M-banking growth and decision-makers in crafting those strategies that increase the M-banking acceptance. Originality/value: This paper makes a unique contribution to the literature with reference to Pakistan, being a pioneering attempt to investigate the factors which affect M-banking acceptance in Islamic banks of Pakistan by using the modified UTAUT model.","author":[{"dropping-particle":"","family":"Raza","given":"Syed Ali","non-dropping-particle":"","parse-names":false,"suffix":""},{"dropping-particle":"","family":"Shah","given":"Nida","non-dropping-particle":"","parse-names":false,"suffix":""},{"dropping-particle":"","family":"Ali","given":"Muhammad","non-dropping-particle":"","parse-names":false,"suffix":""}],"container-title":"Journal of Islamic Marketing","id":"ITEM-3","issue":"1","issued":{"date-parts":[["2018"]]},"page":"357-376","title":"Acceptance of mobile banking in Islamic banks: evidence from modified UTAUT model","type":"article-journal","volume":"10"},"uris":["http://www.mendeley.com/documents/?uuid=22940a40-e37f-41d7-87f8-4bf5fe6fb0fd"]}],"mendeley":{"formattedCitation":"(Anggraeni et al., 2021; Chao, 2019; Raza et al., 2018)","plainTextFormattedCitation":"(Anggraeni et al., 2021; Chao, 2019; Raza et al., 2018)","previouslyFormattedCitation":"(Anggraeni et al., 2021; Chao, 2019; Raza et al., 2018)"},"properties":{"noteIndex":0},"schema":"https://github.com/citation-style-language/schema/raw/master/csl-citation.json"}</w:instrText>
      </w:r>
      <w:r>
        <w:rPr>
          <w:szCs w:val="24"/>
        </w:rPr>
        <w:fldChar w:fldCharType="separate"/>
      </w:r>
      <w:r w:rsidRPr="006A5ACA">
        <w:rPr>
          <w:noProof/>
          <w:szCs w:val="24"/>
        </w:rPr>
        <w:t>(Anggraeni et al., 2021; Chao, 2019; Raza et al., 2018)</w:t>
      </w:r>
      <w:r>
        <w:rPr>
          <w:szCs w:val="24"/>
        </w:rPr>
        <w:fldChar w:fldCharType="end"/>
      </w:r>
      <w:r>
        <w:rPr>
          <w:szCs w:val="24"/>
        </w:rPr>
        <w:t xml:space="preserve">. </w:t>
      </w:r>
    </w:p>
    <w:p w:rsidR="00765A3D" w:rsidRDefault="006A5ACA">
      <w:pPr>
        <w:shd w:val="clear" w:color="auto" w:fill="FFFFFF"/>
        <w:jc w:val="both"/>
        <w:rPr>
          <w:b/>
          <w:bCs/>
          <w:szCs w:val="24"/>
        </w:rPr>
      </w:pPr>
      <w:r>
        <w:rPr>
          <w:b/>
          <w:bCs/>
          <w:szCs w:val="24"/>
        </w:rPr>
        <w:t>Perceived Usefulness</w:t>
      </w:r>
    </w:p>
    <w:p w:rsidR="00765A3D" w:rsidRDefault="006A5ACA">
      <w:pPr>
        <w:shd w:val="clear" w:color="auto" w:fill="FFFFFF"/>
        <w:ind w:firstLine="720"/>
        <w:jc w:val="both"/>
        <w:rPr>
          <w:szCs w:val="24"/>
        </w:rPr>
      </w:pPr>
      <w:r>
        <w:rPr>
          <w:szCs w:val="24"/>
        </w:rPr>
        <w:t>Perceived usefulness is a fundamental TAM variable that has been extensively studied in several investigations</w:t>
      </w:r>
      <w:r w:rsidR="000324B0">
        <w:rPr>
          <w:szCs w:val="24"/>
        </w:rPr>
        <w:t xml:space="preserve"> </w:t>
      </w:r>
      <w:r w:rsidR="000324B0">
        <w:rPr>
          <w:szCs w:val="24"/>
        </w:rPr>
        <w:fldChar w:fldCharType="begin" w:fldLock="1"/>
      </w:r>
      <w:r w:rsidR="000324B0">
        <w:rPr>
          <w:szCs w:val="24"/>
        </w:rPr>
        <w:instrText>ADDIN CSL_CITATION {"citationItems":[{"id":"ITEM-1","itemData":{"DOI":"10.2478/picbe-2021-0035","author":[{"dropping-particle":"","family":"Zarnadze","given":"Giorgi","non-dropping-particle":"","parse-names":false,"suffix":""}],"container-title":"Proceedings of the 15th International Conference on Business Excellence","id":"ITEM-1","issued":{"date-parts":[["2021"]]},"title":"The impact of WOM on the acceptance of mobile banking","type":"paper-conference"},"uris":["http://www.mendeley.com/documents/?uuid=2784574c-c593-4463-9674-cfccbe7598e3"]}],"mendeley":{"formattedCitation":"(Zarnadze, 2021)","plainTextFormattedCitation":"(Zarnadze, 2021)","previouslyFormattedCitation":"(Zarnadze, 2021)"},"properties":{"noteIndex":0},"schema":"https://github.com/citation-style-language/schema/raw/master/csl-citation.json"}</w:instrText>
      </w:r>
      <w:r w:rsidR="000324B0">
        <w:rPr>
          <w:szCs w:val="24"/>
        </w:rPr>
        <w:fldChar w:fldCharType="separate"/>
      </w:r>
      <w:r w:rsidR="000324B0" w:rsidRPr="000324B0">
        <w:rPr>
          <w:noProof/>
          <w:szCs w:val="24"/>
        </w:rPr>
        <w:t>(Zarnadze, 2021)</w:t>
      </w:r>
      <w:r w:rsidR="000324B0">
        <w:rPr>
          <w:szCs w:val="24"/>
        </w:rPr>
        <w:fldChar w:fldCharType="end"/>
      </w:r>
      <w:r w:rsidR="000324B0">
        <w:rPr>
          <w:szCs w:val="24"/>
        </w:rPr>
        <w:t>.</w:t>
      </w:r>
      <w:r>
        <w:rPr>
          <w:szCs w:val="24"/>
        </w:rPr>
        <w:t xml:space="preserve"> It reflects individuals belief that the use of new technology can enhance performance</w:t>
      </w:r>
      <w:r w:rsidR="000324B0">
        <w:rPr>
          <w:szCs w:val="24"/>
        </w:rPr>
        <w:t xml:space="preserve"> </w:t>
      </w:r>
      <w:r w:rsidR="000324B0">
        <w:rPr>
          <w:szCs w:val="24"/>
        </w:rPr>
        <w:fldChar w:fldCharType="begin" w:fldLock="1"/>
      </w:r>
      <w:r w:rsidR="00CC64FC">
        <w:rPr>
          <w:szCs w:val="24"/>
        </w:rPr>
        <w:instrText>ADDIN CSL_CITATION {"citationItems":[{"id":"ITEM-1","itemData":{"DOI":"10.1108/JIMA-10-2019-0203","author":[{"dropping-particle":"","family":"Aji","given":"Hendy Mustiko","non-dropping-particle":"","parse-names":false,"suffix":""},{"dropping-particle":"","family":"Berakon","given":"Iza","non-dropping-particle":"","parse-names":false,"suffix":""},{"dropping-particle":"","family":"Riza","given":"Alex Fahrur","non-dropping-particle":"","parse-names":false,"suffix":""}],"container-title":"Journa of Islamic Marketing","id":"ITEM-1","issued":{"date-parts":[["2020"]]},"title":"The e ff ects of subjective norm and knowledge about riba on intention to use e-money in Indonesia","type":"article-journal"},"uris":["http://www.mendeley.com/documents/?uuid=5805e6fd-90f9-450c-afbb-6251e1eeff49"]},{"id":"ITEM-2","itemData":{"DOI":"10.2478/fiqf","author":[{"dropping-particle":"","family":"Jouda","given":"Haitham","non-dropping-particle":"","parse-names":false,"suffix":""}],"container-title":"Financial Internet Quartely","id":"ITEM-2","issue":"3","issued":{"date-parts":[["2020"]]},"page":"29-50","title":"Expanding TAM and Investigating the Factors that Effect Consumer Intention to Adopt Mobile Banking in Palestina","type":"article-journal","volume":"16"},"uris":["http://www.mendeley.com/documents/?uuid=c6017e44-d448-4192-a2af-ae3117c443df"]},{"id":"ITEM-3","itemData":{"DOI":"10.21511/bbs.16(4).2021.04","author":[{"dropping-particle":"","family":"Riptiono","given":"Sulis","non-dropping-particle":"","parse-names":false,"suffix":""},{"dropping-particle":"","family":"Susanti","given":"Dewi Noor","non-dropping-particle":"","parse-names":false,"suffix":""},{"dropping-particle":"","family":"Rhamdhani","given":"Intan Muliana","non-dropping-particle":"","parse-names":false,"suffix":""},{"dropping-particle":"","family":"Anggraeni","given":"Ade Irma","non-dropping-particle":"","parse-names":false,"suffix":""},{"dropping-particle":"","family":"Prasetyo","given":"Anton","non-dropping-particle":"","parse-names":false,"suffix":""}],"container-title":"Bank and Bank System","id":"ITEM-3","issue":"4","issued":{"date-parts":[["2021"]]},"page":"34-44","title":"Parsing religiosity and intention to use Islamic mobile banking in Indonesia","type":"article-journal","volume":"16"},"uris":["http://www.mendeley.com/documents/?uuid=4ef2cfca-e2ef-41d9-8c02-81601f92dd93"]}],"mendeley":{"formattedCitation":"(Aji et al., 2020; Jouda, 2020; Riptiono et al., 2021)","plainTextFormattedCitation":"(Aji et al., 2020; Jouda, 2020; Riptiono et al., 2021)","previouslyFormattedCitation":"(Aji et al., 2020; Jouda, 2020; Riptiono et al., 2021)"},"properties":{"noteIndex":0},"schema":"https://github.com/citation-style-language/schema/raw/master/csl-citation.json"}</w:instrText>
      </w:r>
      <w:r w:rsidR="000324B0">
        <w:rPr>
          <w:szCs w:val="24"/>
        </w:rPr>
        <w:fldChar w:fldCharType="separate"/>
      </w:r>
      <w:r w:rsidR="00CC64FC" w:rsidRPr="00CC64FC">
        <w:rPr>
          <w:noProof/>
          <w:szCs w:val="24"/>
        </w:rPr>
        <w:t>(Aji et al., 2020; Jouda, 2020; Riptiono et al., 2021)</w:t>
      </w:r>
      <w:r w:rsidR="000324B0">
        <w:rPr>
          <w:szCs w:val="24"/>
        </w:rPr>
        <w:fldChar w:fldCharType="end"/>
      </w:r>
      <w:r w:rsidR="000324B0">
        <w:rPr>
          <w:szCs w:val="24"/>
        </w:rPr>
        <w:t xml:space="preserve"> </w:t>
      </w:r>
      <w:r>
        <w:rPr>
          <w:szCs w:val="24"/>
        </w:rPr>
        <w:t xml:space="preserve">and this construct has received significant attention from several studies. For example, </w:t>
      </w:r>
      <w:r w:rsidR="000324B0">
        <w:rPr>
          <w:szCs w:val="24"/>
        </w:rPr>
        <w:fldChar w:fldCharType="begin" w:fldLock="1"/>
      </w:r>
      <w:r w:rsidR="000324B0">
        <w:rPr>
          <w:szCs w:val="24"/>
        </w:rPr>
        <w:instrText>ADDIN CSL_CITATION {"citationItems":[{"id":"ITEM-1","itemData":{"DOI":"10.13106/jafeb.2021.vol8.no1.353","author":[{"dropping-particle":"","family":"Ramli","given":"Yanto","non-dropping-particle":"","parse-names":false,"suffix":""},{"dropping-particle":"","family":"Harwani","given":"Yuli","non-dropping-particle":"","parse-names":false,"suffix":""},{"dropping-particle":"","family":"Soelton","given":"Mochamad","non-dropping-particle":"","parse-names":false,"suffix":""},{"dropping-particle":"","family":"Hariani","given":"Swarmilah","non-dropping-particle":"","parse-names":false,"suffix":""},{"dropping-particle":"","family":"Usman","given":"Fadlil","non-dropping-particle":"","parse-names":false,"suffix":""}],"container-title":"Journal of Asian Finance, Economics and Business","id":"ITEM-1","issue":"1","issued":{"date-parts":[["2021"]]},"page":"353-361","title":"The Implication of Trust that Influences Customers ’ Intention to Use Mobile Banking","type":"article-journal","volume":"8"},"uris":["http://www.mendeley.com/documents/?uuid=86308d68-c690-4fd2-ba20-73e4597754aa"]}],"mendeley":{"formattedCitation":"(Ramli et al., 2021)","manualFormatting":"Ramli et al., (2021)","plainTextFormattedCitation":"(Ramli et al., 2021)","previouslyFormattedCitation":"(Ramli et al., 2021)"},"properties":{"noteIndex":0},"schema":"https://github.com/citation-style-language/schema/raw/master/csl-citation.json"}</w:instrText>
      </w:r>
      <w:r w:rsidR="000324B0">
        <w:rPr>
          <w:szCs w:val="24"/>
        </w:rPr>
        <w:fldChar w:fldCharType="separate"/>
      </w:r>
      <w:r w:rsidR="000324B0" w:rsidRPr="000324B0">
        <w:rPr>
          <w:noProof/>
          <w:szCs w:val="24"/>
        </w:rPr>
        <w:t xml:space="preserve">Ramli et al., </w:t>
      </w:r>
      <w:r w:rsidR="000324B0">
        <w:rPr>
          <w:noProof/>
          <w:szCs w:val="24"/>
        </w:rPr>
        <w:t>(</w:t>
      </w:r>
      <w:r w:rsidR="000324B0" w:rsidRPr="000324B0">
        <w:rPr>
          <w:noProof/>
          <w:szCs w:val="24"/>
        </w:rPr>
        <w:t>2021)</w:t>
      </w:r>
      <w:r w:rsidR="000324B0">
        <w:rPr>
          <w:szCs w:val="24"/>
        </w:rPr>
        <w:fldChar w:fldCharType="end"/>
      </w:r>
      <w:r w:rsidR="000324B0">
        <w:rPr>
          <w:szCs w:val="24"/>
        </w:rPr>
        <w:t xml:space="preserve"> </w:t>
      </w:r>
      <w:r>
        <w:rPr>
          <w:szCs w:val="24"/>
        </w:rPr>
        <w:t xml:space="preserve">from Indonesia showed that perceived usefulness has a significant influence on trust. Furthermore, </w:t>
      </w:r>
      <w:r w:rsidR="000324B0">
        <w:rPr>
          <w:szCs w:val="24"/>
        </w:rPr>
        <w:fldChar w:fldCharType="begin" w:fldLock="1"/>
      </w:r>
      <w:r w:rsidR="00417C0D">
        <w:rPr>
          <w:szCs w:val="24"/>
        </w:rPr>
        <w:instrText>ADDIN CSL_CITATION {"citationItems":[{"id":"ITEM-1","itemData":{"author":[{"dropping-particle":"","family":"Alalwan","given":"Ali Abdallah","non-dropping-particle":"","parse-names":false,"suffix":""},{"dropping-particle":"","family":"Yogesh K. Dwivedi","given":"Nripendra P. Rana and Michael D. Williams","non-dropping-particle":"","parse-names":false,"suffix":""}],"container-title":"Journal of Enterprise Information Management","id":"ITEM-1","issue":"1","issued":{"date-parts":[["2016"]]},"page":"118-139","title":"Consumer adoption of mobile banking in Jordan : Examining the role of usefulness , ease of use , perceived risk and self-efficacy","type":"article-journal","volume":"29"},"uris":["http://www.mendeley.com/documents/?uuid=4c6b8f27-9a37-4a9c-b68c-c93dfeb40a52"]}],"mendeley":{"formattedCitation":"(Alalwan &amp; Yogesh K. Dwivedi, 2016)","manualFormatting":"A. Alalwan et al., (2016)","plainTextFormattedCitation":"(Alalwan &amp; Yogesh K. Dwivedi, 2016)","previouslyFormattedCitation":"(A. Alalwan et al., 2016)"},"properties":{"noteIndex":0},"schema":"https://github.com/citation-style-language/schema/raw/master/csl-citation.json"}</w:instrText>
      </w:r>
      <w:r w:rsidR="000324B0">
        <w:rPr>
          <w:szCs w:val="24"/>
        </w:rPr>
        <w:fldChar w:fldCharType="separate"/>
      </w:r>
      <w:r w:rsidR="000324B0" w:rsidRPr="000324B0">
        <w:rPr>
          <w:noProof/>
          <w:szCs w:val="24"/>
        </w:rPr>
        <w:t xml:space="preserve">A. Alalwan et al., </w:t>
      </w:r>
      <w:r w:rsidR="000324B0">
        <w:rPr>
          <w:noProof/>
          <w:szCs w:val="24"/>
        </w:rPr>
        <w:t>(</w:t>
      </w:r>
      <w:r w:rsidR="000324B0" w:rsidRPr="000324B0">
        <w:rPr>
          <w:noProof/>
          <w:szCs w:val="24"/>
        </w:rPr>
        <w:t>2016)</w:t>
      </w:r>
      <w:r w:rsidR="000324B0">
        <w:rPr>
          <w:szCs w:val="24"/>
        </w:rPr>
        <w:fldChar w:fldCharType="end"/>
      </w:r>
      <w:r w:rsidR="000324B0">
        <w:rPr>
          <w:szCs w:val="24"/>
        </w:rPr>
        <w:t xml:space="preserve"> </w:t>
      </w:r>
      <w:r>
        <w:rPr>
          <w:szCs w:val="24"/>
        </w:rPr>
        <w:t xml:space="preserve">from Jordan and </w:t>
      </w:r>
      <w:r w:rsidR="000324B0">
        <w:rPr>
          <w:szCs w:val="24"/>
        </w:rPr>
        <w:fldChar w:fldCharType="begin" w:fldLock="1"/>
      </w:r>
      <w:r w:rsidR="00DB3A11">
        <w:rPr>
          <w:szCs w:val="24"/>
        </w:rPr>
        <w:instrText>ADDIN CSL_CITATION {"citationItems":[{"id":"ITEM-1","itemData":{"DOI":"10.13106/jafeb.2020.vol7.no12.1073","author":[{"dropping-particle":"","family":"Nguyen","given":"Van Anh","non-dropping-particle":"","parse-names":false,"suffix":""},{"dropping-particle":"","family":"Phuong","given":"Thi","non-dropping-particle":"","parse-names":false,"suffix":""},{"dropping-particle":"","family":"Nguyen","given":"Thao","non-dropping-particle":"","parse-names":false,"suffix":""}],"container-title":"Journal of Asian Finance, Economics and Business","id":"ITEM-1","issue":"12","issued":{"date-parts":[["2020"]]},"page":"1073-1087","title":"An Integrated Model of CSR Perception and TAM on Intention to Adopt Mobile Banking","type":"article-journal","volume":"7"},"uris":["http://www.mendeley.com/documents/?uuid=e48f5ac4-875b-45cd-8b5e-a780ce4b2824"]}],"mendeley":{"formattedCitation":"(V. A. Nguyen et al., 2020)","plainTextFormattedCitation":"(V. A. Nguyen et al., 2020)","previouslyFormattedCitation":"(V. A. Nguyen et al., 2020)"},"properties":{"noteIndex":0},"schema":"https://github.com/citation-style-language/schema/raw/master/csl-citation.json"}</w:instrText>
      </w:r>
      <w:r w:rsidR="000324B0">
        <w:rPr>
          <w:szCs w:val="24"/>
        </w:rPr>
        <w:fldChar w:fldCharType="separate"/>
      </w:r>
      <w:r w:rsidR="00DB3A11" w:rsidRPr="00DB3A11">
        <w:rPr>
          <w:noProof/>
          <w:szCs w:val="24"/>
        </w:rPr>
        <w:t>(V. A. Nguyen et al., 2020)</w:t>
      </w:r>
      <w:r w:rsidR="000324B0">
        <w:rPr>
          <w:szCs w:val="24"/>
        </w:rPr>
        <w:fldChar w:fldCharType="end"/>
      </w:r>
      <w:r w:rsidR="000324B0">
        <w:rPr>
          <w:szCs w:val="24"/>
        </w:rPr>
        <w:t xml:space="preserve"> </w:t>
      </w:r>
      <w:r>
        <w:rPr>
          <w:szCs w:val="24"/>
        </w:rPr>
        <w:t>in Vietnam found that intention to use M-Banking is significantly influenced by the variable. Therefore, this study proposes the following hypotheses:</w:t>
      </w:r>
    </w:p>
    <w:p w:rsidR="00765A3D" w:rsidRDefault="00765A3D">
      <w:pPr>
        <w:shd w:val="clear" w:color="auto" w:fill="FFFFFF"/>
        <w:jc w:val="both"/>
        <w:rPr>
          <w:szCs w:val="24"/>
        </w:rPr>
      </w:pPr>
    </w:p>
    <w:p w:rsidR="00765A3D" w:rsidRDefault="006A5ACA">
      <w:pPr>
        <w:shd w:val="clear" w:color="auto" w:fill="FFFFFF"/>
        <w:jc w:val="both"/>
        <w:rPr>
          <w:szCs w:val="24"/>
        </w:rPr>
      </w:pPr>
      <w:r>
        <w:rPr>
          <w:szCs w:val="24"/>
        </w:rPr>
        <w:t>H1: Perceived usefulness positively and significantly impact trust</w:t>
      </w:r>
    </w:p>
    <w:p w:rsidR="00765A3D" w:rsidRDefault="006A5ACA">
      <w:pPr>
        <w:shd w:val="clear" w:color="auto" w:fill="FFFFFF"/>
        <w:jc w:val="both"/>
        <w:rPr>
          <w:szCs w:val="24"/>
        </w:rPr>
      </w:pPr>
      <w:r>
        <w:rPr>
          <w:szCs w:val="24"/>
        </w:rPr>
        <w:t>H2: Perceived usefulness positively and significantly impact intention to use M-Banking</w:t>
      </w:r>
    </w:p>
    <w:p w:rsidR="00765A3D" w:rsidRDefault="00765A3D">
      <w:pPr>
        <w:shd w:val="clear" w:color="auto" w:fill="FFFFFF"/>
        <w:jc w:val="both"/>
        <w:rPr>
          <w:szCs w:val="24"/>
        </w:rPr>
      </w:pPr>
    </w:p>
    <w:p w:rsidR="00765A3D" w:rsidRDefault="006A5ACA">
      <w:pPr>
        <w:shd w:val="clear" w:color="auto" w:fill="FFFFFF"/>
        <w:jc w:val="both"/>
        <w:rPr>
          <w:b/>
          <w:szCs w:val="24"/>
        </w:rPr>
      </w:pPr>
      <w:r>
        <w:rPr>
          <w:b/>
          <w:szCs w:val="24"/>
        </w:rPr>
        <w:t>Perceived Ease of Use</w:t>
      </w:r>
    </w:p>
    <w:p w:rsidR="00765A3D" w:rsidRDefault="006A5ACA">
      <w:pPr>
        <w:shd w:val="clear" w:color="auto" w:fill="FFFFFF"/>
        <w:ind w:firstLine="720"/>
        <w:jc w:val="both"/>
        <w:rPr>
          <w:szCs w:val="24"/>
        </w:rPr>
      </w:pPr>
      <w:r>
        <w:rPr>
          <w:szCs w:val="24"/>
        </w:rPr>
        <w:t xml:space="preserve">In the M-Banking context, perceived ease of use refers to consumers’ belief that M-Banking can provide practical benefits as emphasized by </w:t>
      </w:r>
      <w:r w:rsidR="000324B0">
        <w:rPr>
          <w:szCs w:val="24"/>
        </w:rPr>
        <w:fldChar w:fldCharType="begin" w:fldLock="1"/>
      </w:r>
      <w:r w:rsidR="00CC64FC">
        <w:rPr>
          <w:szCs w:val="24"/>
        </w:rPr>
        <w:instrText>ADDIN CSL_CITATION {"citationItems":[{"id":"ITEM-1","itemData":{"DOI":"10.21511/bbs.16(4).2021.04","author":[{"dropping-particle":"","family":"Riptiono","given":"Sulis","non-dropping-particle":"","parse-names":false,"suffix":""},{"dropping-particle":"","family":"Susanti","given":"Dewi Noor","non-dropping-particle":"","parse-names":false,"suffix":""},{"dropping-particle":"","family":"Rhamdhani","given":"Intan Muliana","non-dropping-particle":"","parse-names":false,"suffix":""},{"dropping-particle":"","family":"Anggraeni","given":"Ade Irma","non-dropping-particle":"","parse-names":false,"suffix":""},{"dropping-particle":"","family":"Prasetyo","given":"Anton","non-dropping-particle":"","parse-names":false,"suffix":""}],"container-title":"Bank and Bank System","id":"ITEM-1","issue":"4","issued":{"date-parts":[["2021"]]},"page":"34-44","title":"Parsing religiosity and intention to use Islamic mobile banking in Indonesia","type":"article-journal","volume":"16"},"uris":["http://www.mendeley.com/documents/?uuid=4ef2cfca-e2ef-41d9-8c02-81601f92dd93"]}],"mendeley":{"formattedCitation":"(Riptiono et al., 2021)","manualFormatting":"Riptiono et al., (2021)","plainTextFormattedCitation":"(Riptiono et al., 2021)","previouslyFormattedCitation":"(Riptiono et al., 2021)"},"properties":{"noteIndex":0},"schema":"https://github.com/citation-style-language/schema/raw/master/csl-citation.json"}</w:instrText>
      </w:r>
      <w:r w:rsidR="000324B0">
        <w:rPr>
          <w:szCs w:val="24"/>
        </w:rPr>
        <w:fldChar w:fldCharType="separate"/>
      </w:r>
      <w:r w:rsidR="000324B0" w:rsidRPr="000324B0">
        <w:rPr>
          <w:noProof/>
          <w:szCs w:val="24"/>
        </w:rPr>
        <w:t xml:space="preserve">Riptiono et al., </w:t>
      </w:r>
      <w:r w:rsidR="00CC64FC">
        <w:rPr>
          <w:noProof/>
          <w:szCs w:val="24"/>
        </w:rPr>
        <w:t>(</w:t>
      </w:r>
      <w:r w:rsidR="000324B0" w:rsidRPr="000324B0">
        <w:rPr>
          <w:noProof/>
          <w:szCs w:val="24"/>
        </w:rPr>
        <w:t>2021)</w:t>
      </w:r>
      <w:r w:rsidR="000324B0">
        <w:rPr>
          <w:szCs w:val="24"/>
        </w:rPr>
        <w:fldChar w:fldCharType="end"/>
      </w:r>
      <w:r>
        <w:rPr>
          <w:szCs w:val="24"/>
        </w:rPr>
        <w:t>,</w:t>
      </w:r>
      <w:r w:rsidR="000324B0">
        <w:rPr>
          <w:szCs w:val="24"/>
        </w:rPr>
        <w:t xml:space="preserve"> </w:t>
      </w:r>
      <w:r w:rsidR="000324B0">
        <w:rPr>
          <w:szCs w:val="24"/>
        </w:rPr>
        <w:fldChar w:fldCharType="begin" w:fldLock="1"/>
      </w:r>
      <w:r w:rsidR="00CC64FC">
        <w:rPr>
          <w:szCs w:val="24"/>
        </w:rPr>
        <w:instrText>ADDIN CSL_CITATION {"citationItems":[{"id":"ITEM-1","itemData":{"DOI":", https://doi.org/10.1108/IJBM-12-2016-0186","author":[{"dropping-particle":"","family":"Singh","given":"Sindhu &amp;","non-dropping-particle":"","parse-names":false,"suffix":""},{"dropping-particle":"","family":"Srivastava","given":"R.K","non-dropping-particle":"","parse-names":false,"suffix":""}],"container-title":"International Journal of Bank Marketing","id":"ITEM-1","issued":{"date-parts":[["2016"]]},"title":"Predicting the Intention to Use Mobile Banking in India Introduction","type":"article-journal"},"uris":["http://www.mendeley.com/documents/?uuid=321b6e6a-a463-4eda-be7a-ba47112f6de5"]}],"mendeley":{"formattedCitation":"(Singh &amp; Srivastava, 2016)","manualFormatting":"Singh &amp; Srivastava, (2016)","plainTextFormattedCitation":"(Singh &amp; Srivastava, 2016)","previouslyFormattedCitation":"(Singh &amp; Srivastava, 2016)"},"properties":{"noteIndex":0},"schema":"https://github.com/citation-style-language/schema/raw/master/csl-citation.json"}</w:instrText>
      </w:r>
      <w:r w:rsidR="000324B0">
        <w:rPr>
          <w:szCs w:val="24"/>
        </w:rPr>
        <w:fldChar w:fldCharType="separate"/>
      </w:r>
      <w:r w:rsidR="000324B0" w:rsidRPr="000324B0">
        <w:rPr>
          <w:noProof/>
          <w:szCs w:val="24"/>
        </w:rPr>
        <w:t xml:space="preserve">Singh &amp; Srivastava, </w:t>
      </w:r>
      <w:r w:rsidR="00CC64FC">
        <w:rPr>
          <w:noProof/>
          <w:szCs w:val="24"/>
        </w:rPr>
        <w:t>(</w:t>
      </w:r>
      <w:r w:rsidR="000324B0" w:rsidRPr="000324B0">
        <w:rPr>
          <w:noProof/>
          <w:szCs w:val="24"/>
        </w:rPr>
        <w:t>2016)</w:t>
      </w:r>
      <w:r w:rsidR="000324B0">
        <w:rPr>
          <w:szCs w:val="24"/>
        </w:rPr>
        <w:fldChar w:fldCharType="end"/>
      </w:r>
      <w:r>
        <w:rPr>
          <w:szCs w:val="24"/>
        </w:rPr>
        <w:t xml:space="preserve"> and </w:t>
      </w:r>
      <w:r w:rsidR="000324B0">
        <w:rPr>
          <w:szCs w:val="24"/>
        </w:rPr>
        <w:fldChar w:fldCharType="begin" w:fldLock="1"/>
      </w:r>
      <w:r w:rsidR="00CC64FC">
        <w:rPr>
          <w:szCs w:val="24"/>
        </w:rPr>
        <w:instrText>ADDIN CSL_CITATION {"citationItems":[{"id":"ITEM-1","itemData":{"DOI":"10.29040/jiei.v7i2.2473","ISSN":"2477-6157","abstract":"The existence of Covid-19 which limited society to transact online has made an increment several islamic banks in users and the number of transactions. The aim of this study was to review test how the influence of income, education, and perceived ease of use through attitude against the usage decision of shari’a mobile banking. A Structural Equation Model (SEM) was used to analyze in this study with WarpPLS 7.0 approach. Respondent of this research was general public of Surabaya City. Sampling technique which used in this study was purposive sampling as many as 115 respondents. The result present that perceived ease of use is the most significant factor affecting usage decision and attitude towards mobile banking directly. For the indirect test, perceived ease of use is able to influence the usage decision through attitude. Education and income not significantly influence the usage decision and attitude towards mobile banking directly, neither indirectly.","author":[{"dropping-particle":"","family":"Salmah","given":"Rosilia","non-dropping-particle":"","parse-names":false,"suffix":""}],"container-title":"Jurnal Ilmiah Ekonomi Islam","id":"ITEM-1","issue":"2","issued":{"date-parts":[["2021"]]},"page":"798-805","title":"Pendapatan, Pendidikan, Persepsi Kemudahan, dan Sikap sebagai Mediasi terhadap Keputusan Penggunaan Mobile Banking Syari’ah","type":"article-journal","volume":"7"},"uris":["http://www.mendeley.com/documents/?uuid=fdd00c71-4ad9-49ef-88e0-40d0640e0056"]}],"mendeley":{"formattedCitation":"(Salmah, 2021)","manualFormatting":"Salmah, (2021)","plainTextFormattedCitation":"(Salmah, 2021)","previouslyFormattedCitation":"(Salmah, 2021)"},"properties":{"noteIndex":0},"schema":"https://github.com/citation-style-language/schema/raw/master/csl-citation.json"}</w:instrText>
      </w:r>
      <w:r w:rsidR="000324B0">
        <w:rPr>
          <w:szCs w:val="24"/>
        </w:rPr>
        <w:fldChar w:fldCharType="separate"/>
      </w:r>
      <w:r w:rsidR="000324B0" w:rsidRPr="000324B0">
        <w:rPr>
          <w:noProof/>
          <w:szCs w:val="24"/>
        </w:rPr>
        <w:t xml:space="preserve">Salmah, </w:t>
      </w:r>
      <w:r w:rsidR="00CC64FC">
        <w:rPr>
          <w:noProof/>
          <w:szCs w:val="24"/>
        </w:rPr>
        <w:t>(</w:t>
      </w:r>
      <w:r w:rsidR="000324B0" w:rsidRPr="000324B0">
        <w:rPr>
          <w:noProof/>
          <w:szCs w:val="24"/>
        </w:rPr>
        <w:t>2021)</w:t>
      </w:r>
      <w:r w:rsidR="000324B0">
        <w:rPr>
          <w:szCs w:val="24"/>
        </w:rPr>
        <w:fldChar w:fldCharType="end"/>
      </w:r>
      <w:r>
        <w:rPr>
          <w:szCs w:val="24"/>
        </w:rPr>
        <w:t xml:space="preserve">. As a crucial construct of TAM, the variable has been extensively investigated in several studies on M-Banking acceptance </w:t>
      </w:r>
      <w:r w:rsidR="00CC64FC">
        <w:rPr>
          <w:szCs w:val="24"/>
        </w:rPr>
        <w:fldChar w:fldCharType="begin" w:fldLock="1"/>
      </w:r>
      <w:r w:rsidR="00CC64FC">
        <w:rPr>
          <w:szCs w:val="24"/>
        </w:rPr>
        <w:instrText>ADDIN CSL_CITATION {"citationItems":[{"id":"ITEM-1","itemData":{"DOI":"10.1177/2158244019844084","author":[{"dropping-particle":"","family":"Siyal","given":"Abdul Waheed","non-dropping-particle":"","parse-names":false,"suffix":""},{"dropping-particle":"","family":"Donghong","given":"Ding","non-dropping-particle":"","parse-names":false,"suffix":""},{"dropping-particle":"","family":"Umrani","given":"Waheed Ali","non-dropping-particle":"","parse-names":false,"suffix":""},{"dropping-particle":"","family":"Siyal","given":"Saeed","non-dropping-particle":"","parse-names":false,"suffix":""},{"dropping-particle":"","family":"Bhand","given":"Shaharbano","non-dropping-particle":"","parse-names":false,"suffix":""}],"container-title":"Original Research","id":"ITEM-1","issued":{"date-parts":[["2019"]]},"page":"1-21","title":"Predicting Mobile Banking Acceptance and Loyalty in Chinese Bank Customers","type":"article-journal"},"uris":["http://www.mendeley.com/documents/?uuid=b9aa517c-451c-4c01-8242-8415d503e4fc"]},{"id":"ITEM-2","itemData":{"DOI":"10.2478/picbe-2021-0035","author":[{"dropping-particle":"","family":"Zarnadze","given":"Giorgi","non-dropping-particle":"","parse-names":false,"suffix":""}],"container-title":"Proceedings of the 15th International Conference on Business Excellence","id":"ITEM-2","issued":{"date-parts":[["2021"]]},"title":"The impact of WOM on the acceptance of mobile banking","type":"paper-conference"},"uris":["http://www.mendeley.com/documents/?uuid=2784574c-c593-4463-9674-cfccbe7598e3"]}],"mendeley":{"formattedCitation":"(Siyal et al., 2019; Zarnadze, 2021)","plainTextFormattedCitation":"(Siyal et al., 2019; Zarnadze, 2021)","previouslyFormattedCitation":"(Siyal et al., 2019; Zarnadze, 2021)"},"properties":{"noteIndex":0},"schema":"https://github.com/citation-style-language/schema/raw/master/csl-citation.json"}</w:instrText>
      </w:r>
      <w:r w:rsidR="00CC64FC">
        <w:rPr>
          <w:szCs w:val="24"/>
        </w:rPr>
        <w:fldChar w:fldCharType="separate"/>
      </w:r>
      <w:r w:rsidR="00CC64FC" w:rsidRPr="00CC64FC">
        <w:rPr>
          <w:noProof/>
          <w:szCs w:val="24"/>
        </w:rPr>
        <w:t>(Siyal et al., 2019; Zarnadze, 2021)</w:t>
      </w:r>
      <w:r w:rsidR="00CC64FC">
        <w:rPr>
          <w:szCs w:val="24"/>
        </w:rPr>
        <w:fldChar w:fldCharType="end"/>
      </w:r>
      <w:r>
        <w:rPr>
          <w:szCs w:val="24"/>
        </w:rPr>
        <w:t>.</w:t>
      </w:r>
      <w:r w:rsidR="00CC64FC">
        <w:rPr>
          <w:szCs w:val="24"/>
        </w:rPr>
        <w:t xml:space="preserve"> </w:t>
      </w:r>
      <w:r w:rsidR="00CC64FC">
        <w:rPr>
          <w:szCs w:val="24"/>
        </w:rPr>
        <w:fldChar w:fldCharType="begin" w:fldLock="1"/>
      </w:r>
      <w:r w:rsidR="00CC64FC">
        <w:rPr>
          <w:szCs w:val="24"/>
        </w:rPr>
        <w:instrText>ADDIN CSL_CITATION {"citationItems":[{"id":"ITEM-1","itemData":{"DOI":"10.1177/2158244019844084","author":[{"dropping-particle":"","family":"Siyal","given":"Abdul Waheed","non-dropping-particle":"","parse-names":false,"suffix":""},{"dropping-particle":"","family":"Donghong","given":"Ding","non-dropping-particle":"","parse-names":false,"suffix":""},{"dropping-particle":"","family":"Umrani","given":"Waheed Ali","non-dropping-particle":"","parse-names":false,"suffix":""},{"dropping-particle":"","family":"Siyal","given":"Saeed","non-dropping-particle":"","parse-names":false,"suffix":""},{"dropping-particle":"","family":"Bhand","given":"Shaharbano","non-dropping-particle":"","parse-names":false,"suffix":""}],"container-title":"Original Research","id":"ITEM-1","issued":{"date-parts":[["2019"]]},"page":"1-21","title":"Predicting Mobile Banking Acceptance and Loyalty in Chinese Bank Customers","type":"article-journal"},"uris":["http://www.mendeley.com/documents/?uuid=b9aa517c-451c-4c01-8242-8415d503e4fc"]}],"mendeley":{"formattedCitation":"(Siyal et al., 2019)","manualFormatting":"Siyal et al., (2019)","plainTextFormattedCitation":"(Siyal et al., 2019)","previouslyFormattedCitation":"(Siyal et al., 2019)"},"properties":{"noteIndex":0},"schema":"https://github.com/citation-style-language/schema/raw/master/csl-citation.json"}</w:instrText>
      </w:r>
      <w:r w:rsidR="00CC64FC">
        <w:rPr>
          <w:szCs w:val="24"/>
        </w:rPr>
        <w:fldChar w:fldCharType="separate"/>
      </w:r>
      <w:r w:rsidR="00CC64FC" w:rsidRPr="00CC64FC">
        <w:rPr>
          <w:noProof/>
          <w:szCs w:val="24"/>
        </w:rPr>
        <w:t xml:space="preserve">Siyal et al., </w:t>
      </w:r>
      <w:r w:rsidR="00CC64FC">
        <w:rPr>
          <w:noProof/>
          <w:szCs w:val="24"/>
        </w:rPr>
        <w:t>(</w:t>
      </w:r>
      <w:r w:rsidR="00CC64FC" w:rsidRPr="00CC64FC">
        <w:rPr>
          <w:noProof/>
          <w:szCs w:val="24"/>
        </w:rPr>
        <w:t>2019)</w:t>
      </w:r>
      <w:r w:rsidR="00CC64FC">
        <w:rPr>
          <w:szCs w:val="24"/>
        </w:rPr>
        <w:fldChar w:fldCharType="end"/>
      </w:r>
      <w:r>
        <w:rPr>
          <w:szCs w:val="24"/>
        </w:rPr>
        <w:t xml:space="preserve"> in China showed that the variable has a positive and significant impact on perceived usefulness. Moreover, it can also affect the trust and acceptance of M-Banking. Studies conducted in Indonesia by </w:t>
      </w:r>
      <w:r w:rsidR="00CC64FC">
        <w:rPr>
          <w:szCs w:val="24"/>
        </w:rPr>
        <w:fldChar w:fldCharType="begin" w:fldLock="1"/>
      </w:r>
      <w:r w:rsidR="00CC64FC">
        <w:rPr>
          <w:szCs w:val="24"/>
        </w:rPr>
        <w:instrText>ADDIN CSL_CITATION {"citationItems":[{"id":"ITEM-1","itemData":{"DOI":"10.13106/jafeb.2021.vol8.no1.353","author":[{"dropping-particle":"","family":"Ramli","given":"Yanto","non-dropping-particle":"","parse-names":false,"suffix":""},{"dropping-particle":"","family":"Harwani","given":"Yuli","non-dropping-particle":"","parse-names":false,"suffix":""},{"dropping-particle":"","family":"Soelton","given":"Mochamad","non-dropping-particle":"","parse-names":false,"suffix":""},{"dropping-particle":"","family":"Hariani","given":"Swarmilah","non-dropping-particle":"","parse-names":false,"suffix":""},{"dropping-particle":"","family":"Usman","given":"Fadlil","non-dropping-particle":"","parse-names":false,"suffix":""}],"container-title":"Journal of Asian Finance, Economics and Business","id":"ITEM-1","issue":"1","issued":{"date-parts":[["2021"]]},"page":"353-361","title":"The Implication of Trust that Influences Customers ’ Intention to Use Mobile Banking","type":"article-journal","volume":"8"},"uris":["http://www.mendeley.com/documents/?uuid=86308d68-c690-4fd2-ba20-73e4597754aa"]}],"mendeley":{"formattedCitation":"(Ramli et al., 2021)","manualFormatting":"Ramli et al., (2021)","plainTextFormattedCitation":"(Ramli et al., 2021)","previouslyFormattedCitation":"(Ramli et al., 2021)"},"properties":{"noteIndex":0},"schema":"https://github.com/citation-style-language/schema/raw/master/csl-citation.json"}</w:instrText>
      </w:r>
      <w:r w:rsidR="00CC64FC">
        <w:rPr>
          <w:szCs w:val="24"/>
        </w:rPr>
        <w:fldChar w:fldCharType="separate"/>
      </w:r>
      <w:r w:rsidR="00CC64FC" w:rsidRPr="00CC64FC">
        <w:rPr>
          <w:noProof/>
          <w:szCs w:val="24"/>
        </w:rPr>
        <w:t xml:space="preserve">Ramli et al., </w:t>
      </w:r>
      <w:r w:rsidR="00CC64FC">
        <w:rPr>
          <w:noProof/>
          <w:szCs w:val="24"/>
        </w:rPr>
        <w:t>(</w:t>
      </w:r>
      <w:r w:rsidR="00CC64FC" w:rsidRPr="00CC64FC">
        <w:rPr>
          <w:noProof/>
          <w:szCs w:val="24"/>
        </w:rPr>
        <w:t>2021)</w:t>
      </w:r>
      <w:r w:rsidR="00CC64FC">
        <w:rPr>
          <w:szCs w:val="24"/>
        </w:rPr>
        <w:fldChar w:fldCharType="end"/>
      </w:r>
      <w:r w:rsidR="00CC64FC">
        <w:rPr>
          <w:szCs w:val="24"/>
        </w:rPr>
        <w:t xml:space="preserve"> </w:t>
      </w:r>
      <w:r>
        <w:rPr>
          <w:szCs w:val="24"/>
        </w:rPr>
        <w:t xml:space="preserve">and </w:t>
      </w:r>
      <w:r w:rsidR="00CC64FC">
        <w:rPr>
          <w:szCs w:val="24"/>
        </w:rPr>
        <w:fldChar w:fldCharType="begin" w:fldLock="1"/>
      </w:r>
      <w:r w:rsidR="00CC64FC">
        <w:rPr>
          <w:szCs w:val="24"/>
        </w:rPr>
        <w:instrText>ADDIN CSL_CITATION {"citationItems":[{"id":"ITEM-1","itemData":{"ISSN":"2579-6534","abstract":"This study aims to analyze how the Islamic banking customer accepts mobile banking services and their behavior in using them. This study also aims to test the effect of Technology Acceptance Model (TAM) theory with spiritual motivation on customer intentions. This study uses quantitative methods with primary data obtained through the distribution of online questionnaires to Islamic banking customers who use mobile banking services. The data analysis technique used is Structural Equation Modeling-Partial Least Square (SEM-PLS). Islamic bank customers who receive and use mobile banking services are influenced by perceptions of convenience, perceived usefulness, attitudes, and intentions such as the Technology Acceptance Model theory. The level of spiritual motivation in this study can affect the intentions of Islamic bank customers as mobile banking users in Indonesia. This research is expected to be useful as additional information is needed to improve services for customers. This study examines Islamic bank customers who use mobile banking services and becomes the latest research after the merger of Islamic banks in Indonesia.","author":[{"dropping-particle":"","family":"Sukmawati","given":"Heni","non-dropping-particle":"","parse-names":false,"suffix":""},{"dropping-particle":"","family":"Farizal Rasyid","given":"Ari","non-dropping-particle":"","parse-names":false,"suffix":""},{"dropping-particle":"","family":"Rachma Kurniaputri","given":"Mega","non-dropping-particle":"","parse-names":false,"suffix":""}],"container-title":"Jurnal Ilmiah Ekonomi Islam","id":"ITEM-1","issue":"03","issued":{"date-parts":[["2021"]]},"page":"1845-1857","title":"Penerimaan dan Penggunaan Layanan Mobile Banking Perbankan Syariah: Ekstensi Technology Acceptance Model","type":"article-journal","volume":"7"},"uris":["http://www.mendeley.com/documents/?uuid=3ef1d0da-ea72-4500-a4aa-9d50197adeee"]}],"mendeley":{"formattedCitation":"(Sukmawati et al., 2021)","manualFormatting":"Sukmawati et al., (2021)","plainTextFormattedCitation":"(Sukmawati et al., 2021)","previouslyFormattedCitation":"(Sukmawati et al., 2021)"},"properties":{"noteIndex":0},"schema":"https://github.com/citation-style-language/schema/raw/master/csl-citation.json"}</w:instrText>
      </w:r>
      <w:r w:rsidR="00CC64FC">
        <w:rPr>
          <w:szCs w:val="24"/>
        </w:rPr>
        <w:fldChar w:fldCharType="separate"/>
      </w:r>
      <w:r w:rsidR="00CC64FC" w:rsidRPr="00CC64FC">
        <w:rPr>
          <w:noProof/>
          <w:szCs w:val="24"/>
        </w:rPr>
        <w:t xml:space="preserve">Sukmawati et al., </w:t>
      </w:r>
      <w:r w:rsidR="00CC64FC">
        <w:rPr>
          <w:noProof/>
          <w:szCs w:val="24"/>
        </w:rPr>
        <w:t>(</w:t>
      </w:r>
      <w:r w:rsidR="00CC64FC" w:rsidRPr="00CC64FC">
        <w:rPr>
          <w:noProof/>
          <w:szCs w:val="24"/>
        </w:rPr>
        <w:t>2021)</w:t>
      </w:r>
      <w:r w:rsidR="00CC64FC">
        <w:rPr>
          <w:szCs w:val="24"/>
        </w:rPr>
        <w:fldChar w:fldCharType="end"/>
      </w:r>
      <w:r w:rsidR="00CC64FC">
        <w:rPr>
          <w:szCs w:val="24"/>
        </w:rPr>
        <w:t xml:space="preserve"> </w:t>
      </w:r>
      <w:r>
        <w:rPr>
          <w:szCs w:val="24"/>
        </w:rPr>
        <w:t>showed that perceived ease of use has a positive and significant impact on trust.</w:t>
      </w:r>
      <w:r w:rsidR="00CC64FC">
        <w:rPr>
          <w:szCs w:val="24"/>
        </w:rPr>
        <w:t xml:space="preserve"> </w:t>
      </w:r>
      <w:r w:rsidR="00CC64FC">
        <w:rPr>
          <w:szCs w:val="24"/>
        </w:rPr>
        <w:fldChar w:fldCharType="begin" w:fldLock="1"/>
      </w:r>
      <w:r w:rsidR="00417C0D">
        <w:rPr>
          <w:szCs w:val="24"/>
        </w:rPr>
        <w:instrText>ADDIN CSL_CITATION {"citationItems":[{"id":"ITEM-1","itemData":{"author":[{"dropping-particle":"","family":"Alalwan","given":"Ali Abdallah","non-dropping-particle":"","parse-names":false,"suffix":""},{"dropping-particle":"","family":"Yogesh K. Dwivedi","given":"Nripendra P. Rana and Michael D. Williams","non-dropping-particle":"","parse-names":false,"suffix":""}],"container-title":"Journal of Enterprise Information Management","id":"ITEM-1","issue":"1","issued":{"date-parts":[["2016"]]},"page":"118-139","title":"Consumer adoption of mobile banking in Jordan : Examining the role of usefulness , ease of use , perceived risk and self-efficacy","type":"article-journal","volume":"29"},"uris":["http://www.mendeley.com/documents/?uuid=4c6b8f27-9a37-4a9c-b68c-c93dfeb40a52"]}],"mendeley":{"formattedCitation":"(Alalwan &amp; Yogesh K. Dwivedi, 2016)","manualFormatting":"A. A. Alalwan &amp; Yogesh K. Dwivedi, (2016)","plainTextFormattedCitation":"(Alalwan &amp; Yogesh K. Dwivedi, 2016)","previouslyFormattedCitation":"(A. A. Alalwan &amp; Yogesh K. Dwivedi, 2016)"},"properties":{"noteIndex":0},"schema":"https://github.com/citation-style-language/schema/raw/master/csl-citation.json"}</w:instrText>
      </w:r>
      <w:r w:rsidR="00CC64FC">
        <w:rPr>
          <w:szCs w:val="24"/>
        </w:rPr>
        <w:fldChar w:fldCharType="separate"/>
      </w:r>
      <w:r w:rsidR="00CC64FC" w:rsidRPr="00CC64FC">
        <w:rPr>
          <w:noProof/>
          <w:szCs w:val="24"/>
        </w:rPr>
        <w:t xml:space="preserve">A. A. Alalwan &amp; Yogesh K. Dwivedi, </w:t>
      </w:r>
      <w:r w:rsidR="00CC64FC">
        <w:rPr>
          <w:noProof/>
          <w:szCs w:val="24"/>
        </w:rPr>
        <w:t>(</w:t>
      </w:r>
      <w:r w:rsidR="00CC64FC" w:rsidRPr="00CC64FC">
        <w:rPr>
          <w:noProof/>
          <w:szCs w:val="24"/>
        </w:rPr>
        <w:t>2016)</w:t>
      </w:r>
      <w:r w:rsidR="00CC64FC">
        <w:rPr>
          <w:szCs w:val="24"/>
        </w:rPr>
        <w:fldChar w:fldCharType="end"/>
      </w:r>
      <w:r>
        <w:rPr>
          <w:szCs w:val="24"/>
        </w:rPr>
        <w:t xml:space="preserve">, </w:t>
      </w:r>
      <w:r w:rsidR="00CC64FC">
        <w:rPr>
          <w:szCs w:val="24"/>
        </w:rPr>
        <w:fldChar w:fldCharType="begin" w:fldLock="1"/>
      </w:r>
      <w:r w:rsidR="00CC64FC">
        <w:rPr>
          <w:szCs w:val="24"/>
        </w:rPr>
        <w:instrText>ADDIN CSL_CITATION {"citationItems":[{"id":"ITEM-1","itemData":{"DOI":", https://doi.org/10.1108/IJBM-12-2016-0186","author":[{"dropping-particle":"","family":"Singh","given":"Sindhu &amp;","non-dropping-particle":"","parse-names":false,"suffix":""},{"dropping-particle":"","family":"Srivastava","given":"R.K","non-dropping-particle":"","parse-names":false,"suffix":""}],"container-title":"International Journal of Bank Marketing","id":"ITEM-1","issued":{"date-parts":[["2016"]]},"title":"Predicting the Intention to Use Mobile Banking in India Introduction","type":"article-journal"},"uris":["http://www.mendeley.com/documents/?uuid=321b6e6a-a463-4eda-be7a-ba47112f6de5"]}],"mendeley":{"formattedCitation":"(Singh &amp; Srivastava, 2016)","manualFormatting":"Singh &amp; Srivastava, (2016)","plainTextFormattedCitation":"(Singh &amp; Srivastava, 2016)","previouslyFormattedCitation":"(Singh &amp; Srivastava, 2016)"},"properties":{"noteIndex":0},"schema":"https://github.com/citation-style-language/schema/raw/master/csl-citation.json"}</w:instrText>
      </w:r>
      <w:r w:rsidR="00CC64FC">
        <w:rPr>
          <w:szCs w:val="24"/>
        </w:rPr>
        <w:fldChar w:fldCharType="separate"/>
      </w:r>
      <w:r w:rsidR="00CC64FC" w:rsidRPr="00CC64FC">
        <w:rPr>
          <w:noProof/>
          <w:szCs w:val="24"/>
        </w:rPr>
        <w:t xml:space="preserve">Singh &amp; Srivastava, </w:t>
      </w:r>
      <w:r w:rsidR="00CC64FC">
        <w:rPr>
          <w:noProof/>
          <w:szCs w:val="24"/>
        </w:rPr>
        <w:t>(</w:t>
      </w:r>
      <w:r w:rsidR="00CC64FC" w:rsidRPr="00CC64FC">
        <w:rPr>
          <w:noProof/>
          <w:szCs w:val="24"/>
        </w:rPr>
        <w:t>2016)</w:t>
      </w:r>
      <w:r w:rsidR="00CC64FC">
        <w:rPr>
          <w:szCs w:val="24"/>
        </w:rPr>
        <w:fldChar w:fldCharType="end"/>
      </w:r>
      <w:r>
        <w:rPr>
          <w:szCs w:val="24"/>
        </w:rPr>
        <w:t xml:space="preserve">, and </w:t>
      </w:r>
      <w:r w:rsidR="00CC64FC">
        <w:rPr>
          <w:szCs w:val="24"/>
        </w:rPr>
        <w:fldChar w:fldCharType="begin" w:fldLock="1"/>
      </w:r>
      <w:r w:rsidR="00CC64FC">
        <w:rPr>
          <w:szCs w:val="24"/>
        </w:rPr>
        <w:instrText>ADDIN CSL_CITATION {"citationItems":[{"id":"ITEM-1","itemData":{"DOI":"10.13106/jafeb.2021.vol8.no11.0157","author":[{"dropping-particle":"","family":"Sang","given":"Nguyen Minh","non-dropping-particle":"","parse-names":false,"suffix":""}],"container-title":"Journal of Asian Finance, Economics and Business","id":"ITEM-1","issue":"11","issued":{"date-parts":[["2021"]]},"page":"157-167","title":"Critical Factors Affecting Consumer Intention of Using Mobile Banking Applications During COVID-19 Pandemic : An Empirical Study from Vietnam *","type":"article-journal","volume":"8"},"uris":["http://www.mendeley.com/documents/?uuid=13a5090b-383e-4212-a2b1-644963ac8674"]}],"mendeley":{"formattedCitation":"(Sang, 2021)","manualFormatting":"Sang, (2021)","plainTextFormattedCitation":"(Sang, 2021)","previouslyFormattedCitation":"(Sang, 2021)"},"properties":{"noteIndex":0},"schema":"https://github.com/citation-style-language/schema/raw/master/csl-citation.json"}</w:instrText>
      </w:r>
      <w:r w:rsidR="00CC64FC">
        <w:rPr>
          <w:szCs w:val="24"/>
        </w:rPr>
        <w:fldChar w:fldCharType="separate"/>
      </w:r>
      <w:r w:rsidR="00CC64FC" w:rsidRPr="00CC64FC">
        <w:rPr>
          <w:noProof/>
          <w:szCs w:val="24"/>
        </w:rPr>
        <w:t xml:space="preserve">Sang, </w:t>
      </w:r>
      <w:r w:rsidR="00CC64FC">
        <w:rPr>
          <w:noProof/>
          <w:szCs w:val="24"/>
        </w:rPr>
        <w:t>(</w:t>
      </w:r>
      <w:r w:rsidR="00CC64FC" w:rsidRPr="00CC64FC">
        <w:rPr>
          <w:noProof/>
          <w:szCs w:val="24"/>
        </w:rPr>
        <w:t>2021)</w:t>
      </w:r>
      <w:r w:rsidR="00CC64FC">
        <w:rPr>
          <w:szCs w:val="24"/>
        </w:rPr>
        <w:fldChar w:fldCharType="end"/>
      </w:r>
      <w:r w:rsidR="00CC64FC">
        <w:rPr>
          <w:szCs w:val="24"/>
        </w:rPr>
        <w:t xml:space="preserve"> </w:t>
      </w:r>
      <w:r>
        <w:rPr>
          <w:szCs w:val="24"/>
        </w:rPr>
        <w:t>from Jordan, India, and Vietnam proved that intention to use M-Banking is significantly affected by perceived ease of use. Therefore, the hypotheses proposed in this study are as follows:</w:t>
      </w:r>
    </w:p>
    <w:p w:rsidR="00765A3D" w:rsidRDefault="00765A3D">
      <w:pPr>
        <w:shd w:val="clear" w:color="auto" w:fill="FFFFFF"/>
        <w:jc w:val="both"/>
        <w:rPr>
          <w:szCs w:val="24"/>
        </w:rPr>
      </w:pPr>
    </w:p>
    <w:p w:rsidR="00765A3D" w:rsidRDefault="006A5ACA">
      <w:pPr>
        <w:shd w:val="clear" w:color="auto" w:fill="FFFFFF"/>
        <w:jc w:val="both"/>
        <w:rPr>
          <w:szCs w:val="24"/>
        </w:rPr>
      </w:pPr>
      <w:r>
        <w:rPr>
          <w:szCs w:val="24"/>
        </w:rPr>
        <w:t>H3: Perceived ease of use positively and significantly impacts perceived usefulness</w:t>
      </w:r>
    </w:p>
    <w:p w:rsidR="00765A3D" w:rsidRDefault="006A5ACA">
      <w:pPr>
        <w:shd w:val="clear" w:color="auto" w:fill="FFFFFF"/>
        <w:jc w:val="both"/>
        <w:rPr>
          <w:szCs w:val="24"/>
        </w:rPr>
      </w:pPr>
      <w:r>
        <w:rPr>
          <w:szCs w:val="24"/>
        </w:rPr>
        <w:t>H4: Perceived ease of use positively and significantly impacts trust</w:t>
      </w:r>
    </w:p>
    <w:p w:rsidR="00765A3D" w:rsidRDefault="006A5ACA">
      <w:pPr>
        <w:shd w:val="clear" w:color="auto" w:fill="FFFFFF"/>
        <w:jc w:val="both"/>
        <w:rPr>
          <w:szCs w:val="24"/>
        </w:rPr>
      </w:pPr>
      <w:r>
        <w:rPr>
          <w:szCs w:val="24"/>
        </w:rPr>
        <w:t>H5: Perceived ease of use positively and significantly impacts intention to use M-Banking</w:t>
      </w:r>
    </w:p>
    <w:p w:rsidR="007105B6" w:rsidRDefault="007105B6">
      <w:pPr>
        <w:shd w:val="clear" w:color="auto" w:fill="FFFFFF"/>
        <w:jc w:val="both"/>
        <w:rPr>
          <w:szCs w:val="24"/>
        </w:rPr>
      </w:pPr>
    </w:p>
    <w:p w:rsidR="00765A3D" w:rsidRDefault="006A5ACA">
      <w:pPr>
        <w:shd w:val="clear" w:color="auto" w:fill="FFFFFF"/>
        <w:jc w:val="both"/>
        <w:rPr>
          <w:b/>
          <w:szCs w:val="24"/>
        </w:rPr>
      </w:pPr>
      <w:r>
        <w:rPr>
          <w:b/>
          <w:szCs w:val="24"/>
        </w:rPr>
        <w:lastRenderedPageBreak/>
        <w:t>Perceived Risk</w:t>
      </w:r>
    </w:p>
    <w:p w:rsidR="00765A3D" w:rsidRDefault="006A5ACA">
      <w:pPr>
        <w:shd w:val="clear" w:color="auto" w:fill="FFFFFF"/>
        <w:ind w:firstLine="720"/>
        <w:jc w:val="both"/>
        <w:rPr>
          <w:bCs/>
          <w:szCs w:val="24"/>
        </w:rPr>
      </w:pPr>
      <w:r>
        <w:rPr>
          <w:bCs/>
          <w:szCs w:val="24"/>
        </w:rPr>
        <w:t xml:space="preserve">Perceived risk theory has been proposed since 1960 to define consumers’ behavior and factors affecting their decision-making. In recent decades, the definition has changed due to the consumers’ behavior trend toward online transactions. Initially, the variable was limited to fraud or product quality but was subsequently defined in relation to financial, physical, psychological, or social risk in online transactions </w:t>
      </w:r>
      <w:r w:rsidR="00CC64FC">
        <w:rPr>
          <w:bCs/>
          <w:szCs w:val="24"/>
        </w:rPr>
        <w:fldChar w:fldCharType="begin" w:fldLock="1"/>
      </w:r>
      <w:r w:rsidR="00CC64FC">
        <w:rPr>
          <w:bCs/>
          <w:szCs w:val="24"/>
        </w:rPr>
        <w:instrText>ADDIN CSL_CITATION {"citationItems":[{"id":"ITEM-1","itemData":{"DOI":"10.1016/j.tele.2012.11.001","ISSN":"0736-5853","author":[{"dropping-particle":"","family":"Hanafizadeh","given":"Payam","non-dropping-particle":"","parse-names":false,"suffix":""},{"dropping-particle":"","family":"Behboudi","given":"Mehdi","non-dropping-particle":"","parse-names":false,"suffix":""},{"dropping-particle":"","family":"Abedini","given":"Amir","non-dropping-particle":"","parse-names":false,"suffix":""},{"dropping-particle":"","family":"Jalilvand","given":"Marziyeh","non-dropping-particle":"","parse-names":false,"suffix":""},{"dropping-particle":"","family":"Tabar","given":"Shirkhani","non-dropping-particle":"","parse-names":false,"suffix":""}],"container-title":"Telematics and Informatics","id":"ITEM-1","issue":"1","issued":{"date-parts":[["2014"]]},"page":"62-78","publisher":"Elsevier Ltd","title":"Mobile-banking adoption by Iranian bank clients","type":"article-journal","volume":"31"},"uris":["http://www.mendeley.com/documents/?uuid=252a7ef4-e530-472e-8a3f-1cf39a059754"]}],"mendeley":{"formattedCitation":"(Hanafizadeh et al., 2014)","plainTextFormattedCitation":"(Hanafizadeh et al., 2014)","previouslyFormattedCitation":"(Hanafizadeh et al., 2014)"},"properties":{"noteIndex":0},"schema":"https://github.com/citation-style-language/schema/raw/master/csl-citation.json"}</w:instrText>
      </w:r>
      <w:r w:rsidR="00CC64FC">
        <w:rPr>
          <w:bCs/>
          <w:szCs w:val="24"/>
        </w:rPr>
        <w:fldChar w:fldCharType="separate"/>
      </w:r>
      <w:r w:rsidR="00CC64FC" w:rsidRPr="00CC64FC">
        <w:rPr>
          <w:bCs/>
          <w:noProof/>
          <w:szCs w:val="24"/>
        </w:rPr>
        <w:t>(Hanafizadeh et al., 2014)</w:t>
      </w:r>
      <w:r w:rsidR="00CC64FC">
        <w:rPr>
          <w:bCs/>
          <w:szCs w:val="24"/>
        </w:rPr>
        <w:fldChar w:fldCharType="end"/>
      </w:r>
      <w:r>
        <w:rPr>
          <w:bCs/>
          <w:szCs w:val="24"/>
        </w:rPr>
        <w:t xml:space="preserve">. Perceived risk often has a strong negative relationship with M-Banking acceptance </w:t>
      </w:r>
      <w:r w:rsidR="00CC64FC">
        <w:rPr>
          <w:bCs/>
          <w:szCs w:val="24"/>
        </w:rPr>
        <w:fldChar w:fldCharType="begin" w:fldLock="1"/>
      </w:r>
      <w:r w:rsidR="00417C0D">
        <w:rPr>
          <w:bCs/>
          <w:szCs w:val="24"/>
        </w:rPr>
        <w:instrText>ADDIN CSL_CITATION {"citationItems":[{"id":"ITEM-1","itemData":{"author":[{"dropping-particle":"","family":"Alalwan","given":"Ali Abdallah","non-dropping-particle":"","parse-names":false,"suffix":""},{"dropping-particle":"","family":"Yogesh K. Dwivedi","given":"Nripendra P. Rana and Michael D. Williams","non-dropping-particle":"","parse-names":false,"suffix":""}],"container-title":"Journal of Enterprise Information Management","id":"ITEM-1","issue":"1","issued":{"date-parts":[["2016"]]},"page":"118-139","title":"Consumer adoption of mobile banking in Jordan : Examining the role of usefulness , ease of use , perceived risk and self-efficacy","type":"article-journal","volume":"29"},"uris":["http://www.mendeley.com/documents/?uuid=4c6b8f27-9a37-4a9c-b68c-c93dfeb40a52"]},{"id":"ITEM-2","itemData":{"DOI":"10.20885/jeki.vol5.iss2.art2","ISSN":"20889968","abstract":"… third most important contribution is made by Asia with an overall share of 21.9 per cent from mainly Malaysia, Indonesia, Pakistan and … was in evolutionary phase, and owing to this fact, a number of concerns arouse over the application of Islamic banking and finance …","author":[{"dropping-particle":"","family":"Kholid","given":"Muamar Nur","non-dropping-particle":"","parse-names":false,"suffix":""}],"container-title":"Jurnal Ekonomi &amp; Keuangan Islam","id":"ITEM-2","issue":"2","issued":{"date-parts":[["2019"]]},"page":"53-62","title":"Determinants of intention to use Islamic mobile banking: Evidence from millennial generation","type":"article-journal","volume":"5"},"uris":["http://www.mendeley.com/documents/?uuid=1c5e9880-c8fc-4118-8878-f7ea509b9a14"]}],"mendeley":{"formattedCitation":"(Alalwan &amp; Yogesh K. Dwivedi, 2016; Kholid, 2019)","plainTextFormattedCitation":"(Alalwan &amp; Yogesh K. Dwivedi, 2016; Kholid, 2019)","previouslyFormattedCitation":"(A. A. Alalwan &amp; Yogesh K. Dwivedi, 2016; Kholid, 2019)"},"properties":{"noteIndex":0},"schema":"https://github.com/citation-style-language/schema/raw/master/csl-citation.json"}</w:instrText>
      </w:r>
      <w:r w:rsidR="00CC64FC">
        <w:rPr>
          <w:bCs/>
          <w:szCs w:val="24"/>
        </w:rPr>
        <w:fldChar w:fldCharType="separate"/>
      </w:r>
      <w:r w:rsidR="00417C0D" w:rsidRPr="00417C0D">
        <w:rPr>
          <w:bCs/>
          <w:noProof/>
          <w:szCs w:val="24"/>
        </w:rPr>
        <w:t>(Alalwan &amp; Yogesh K. Dwivedi, 2016; Kholid, 2019)</w:t>
      </w:r>
      <w:r w:rsidR="00CC64FC">
        <w:rPr>
          <w:bCs/>
          <w:szCs w:val="24"/>
        </w:rPr>
        <w:fldChar w:fldCharType="end"/>
      </w:r>
      <w:r>
        <w:rPr>
          <w:bCs/>
          <w:szCs w:val="24"/>
        </w:rPr>
        <w:t xml:space="preserve">. Consumers may accept the variable when M-Banking is perceived as useful, even though there is a previous bad experience </w:t>
      </w:r>
      <w:r w:rsidR="00CC64FC">
        <w:rPr>
          <w:bCs/>
          <w:szCs w:val="24"/>
        </w:rPr>
        <w:fldChar w:fldCharType="begin" w:fldLock="1"/>
      </w:r>
      <w:r w:rsidR="00CC64FC">
        <w:rPr>
          <w:bCs/>
          <w:szCs w:val="24"/>
        </w:rPr>
        <w:instrText>ADDIN CSL_CITATION {"citationItems":[{"id":"ITEM-1","itemData":{"DOI":"10.1108/JIMA-10-2019-0203","author":[{"dropping-particle":"","family":"Aji","given":"Hendy Mustiko","non-dropping-particle":"","parse-names":false,"suffix":""},{"dropping-particle":"","family":"Berakon","given":"Iza","non-dropping-particle":"","parse-names":false,"suffix":""},{"dropping-particle":"","family":"Riza","given":"Alex Fahrur","non-dropping-particle":"","parse-names":false,"suffix":""}],"container-title":"Journa of Islamic Marketing","id":"ITEM-1","issued":{"date-parts":[["2020"]]},"title":"The e ff ects of subjective norm and knowledge about riba on intention to use e-money in Indonesia","type":"article-journal"},"uris":["http://www.mendeley.com/documents/?uuid=5805e6fd-90f9-450c-afbb-6251e1eeff49"]}],"mendeley":{"formattedCitation":"(Aji et al., 2020)","plainTextFormattedCitation":"(Aji et al., 2020)","previouslyFormattedCitation":"(Aji et al., 2020)"},"properties":{"noteIndex":0},"schema":"https://github.com/citation-style-language/schema/raw/master/csl-citation.json"}</w:instrText>
      </w:r>
      <w:r w:rsidR="00CC64FC">
        <w:rPr>
          <w:bCs/>
          <w:szCs w:val="24"/>
        </w:rPr>
        <w:fldChar w:fldCharType="separate"/>
      </w:r>
      <w:r w:rsidR="00CC64FC" w:rsidRPr="00CC64FC">
        <w:rPr>
          <w:bCs/>
          <w:noProof/>
          <w:szCs w:val="24"/>
        </w:rPr>
        <w:t>(Aji et al., 2020)</w:t>
      </w:r>
      <w:r w:rsidR="00CC64FC">
        <w:rPr>
          <w:bCs/>
          <w:szCs w:val="24"/>
        </w:rPr>
        <w:fldChar w:fldCharType="end"/>
      </w:r>
      <w:r>
        <w:rPr>
          <w:bCs/>
          <w:szCs w:val="24"/>
        </w:rPr>
        <w:t xml:space="preserve">. Considering the relationship between perceived risk and usefulness, the decision to adopt M-Banking may be affected. </w:t>
      </w:r>
      <w:r w:rsidR="00CC64FC">
        <w:rPr>
          <w:bCs/>
          <w:szCs w:val="24"/>
        </w:rPr>
        <w:fldChar w:fldCharType="begin" w:fldLock="1"/>
      </w:r>
      <w:r w:rsidR="00CC64FC">
        <w:rPr>
          <w:bCs/>
          <w:szCs w:val="24"/>
        </w:rPr>
        <w:instrText>ADDIN CSL_CITATION {"citationItems":[{"id":"ITEM-1","itemData":{"DOI":"10.1177/2158244019844084","author":[{"dropping-particle":"","family":"Siyal","given":"Abdul Waheed","non-dropping-particle":"","parse-names":false,"suffix":""},{"dropping-particle":"","family":"Donghong","given":"Ding","non-dropping-particle":"","parse-names":false,"suffix":""},{"dropping-particle":"","family":"Umrani","given":"Waheed Ali","non-dropping-particle":"","parse-names":false,"suffix":""},{"dropping-particle":"","family":"Siyal","given":"Saeed","non-dropping-particle":"","parse-names":false,"suffix":""},{"dropping-particle":"","family":"Bhand","given":"Shaharbano","non-dropping-particle":"","parse-names":false,"suffix":""}],"container-title":"Original Research","id":"ITEM-1","issued":{"date-parts":[["2019"]]},"page":"1-21","title":"Predicting Mobile Banking Acceptance and Loyalty in Chinese Bank Customers","type":"article-journal"},"uris":["http://www.mendeley.com/documents/?uuid=b9aa517c-451c-4c01-8242-8415d503e4fc"]}],"mendeley":{"formattedCitation":"(Siyal et al., 2019)","manualFormatting":"Siyal et al., (2019)","plainTextFormattedCitation":"(Siyal et al., 2019)","previouslyFormattedCitation":"(Siyal et al., 2019)"},"properties":{"noteIndex":0},"schema":"https://github.com/citation-style-language/schema/raw/master/csl-citation.json"}</w:instrText>
      </w:r>
      <w:r w:rsidR="00CC64FC">
        <w:rPr>
          <w:bCs/>
          <w:szCs w:val="24"/>
        </w:rPr>
        <w:fldChar w:fldCharType="separate"/>
      </w:r>
      <w:r w:rsidR="00CC64FC" w:rsidRPr="00CC64FC">
        <w:rPr>
          <w:bCs/>
          <w:noProof/>
          <w:szCs w:val="24"/>
        </w:rPr>
        <w:t xml:space="preserve">Siyal et al., </w:t>
      </w:r>
      <w:r w:rsidR="00CC64FC">
        <w:rPr>
          <w:bCs/>
          <w:noProof/>
          <w:szCs w:val="24"/>
        </w:rPr>
        <w:t>(</w:t>
      </w:r>
      <w:r w:rsidR="00CC64FC" w:rsidRPr="00CC64FC">
        <w:rPr>
          <w:bCs/>
          <w:noProof/>
          <w:szCs w:val="24"/>
        </w:rPr>
        <w:t>2019)</w:t>
      </w:r>
      <w:r w:rsidR="00CC64FC">
        <w:rPr>
          <w:bCs/>
          <w:szCs w:val="24"/>
        </w:rPr>
        <w:fldChar w:fldCharType="end"/>
      </w:r>
      <w:r w:rsidR="00CC64FC">
        <w:rPr>
          <w:bCs/>
          <w:szCs w:val="24"/>
        </w:rPr>
        <w:t xml:space="preserve"> </w:t>
      </w:r>
      <w:r>
        <w:rPr>
          <w:bCs/>
          <w:szCs w:val="24"/>
        </w:rPr>
        <w:t xml:space="preserve">and </w:t>
      </w:r>
      <w:r w:rsidR="00CC64FC">
        <w:rPr>
          <w:bCs/>
          <w:szCs w:val="24"/>
        </w:rPr>
        <w:fldChar w:fldCharType="begin" w:fldLock="1"/>
      </w:r>
      <w:r w:rsidR="00DB3A11">
        <w:rPr>
          <w:bCs/>
          <w:szCs w:val="24"/>
        </w:rPr>
        <w:instrText>ADDIN CSL_CITATION {"citationItems":[{"id":"ITEM-1","itemData":{"author":[{"dropping-particle":"","family":"Kumar","given":"Suresh","non-dropping-particle":"","parse-names":false,"suffix":""},{"dropping-particle":"","family":"Leonie","given":"Angela","non-dropping-particle":"","parse-names":false,"suffix":""},{"dropping-particle":"","family":"Yukita","given":"Keyko","non-dropping-particle":"","parse-names":false,"suffix":""}],"container-title":"Proceedings of the International Conference on Business and Engineering Management (ICONBEM 2021) Millennials","id":"ITEM-1","issued":{"date-parts":[["2021"]]},"page":"210-217","title":"Millennials Behavioral Intention in Using Mobile Banking : Integrating Perceived Risk and Trust into TAM ( A Survey in Jawa Barat )","type":"paper-conference","volume":"177"},"uris":["http://www.mendeley.com/documents/?uuid=3d948f1b-8cda-4a7e-a199-370763f50f5a"]}],"mendeley":{"formattedCitation":"(S. Kumar et al., 2021)","manualFormatting":"Kumar et al., (2021)","plainTextFormattedCitation":"(S. Kumar et al., 2021)","previouslyFormattedCitation":"(S. Kumar et al., 2021)"},"properties":{"noteIndex":0},"schema":"https://github.com/citation-style-language/schema/raw/master/csl-citation.json"}</w:instrText>
      </w:r>
      <w:r w:rsidR="00CC64FC">
        <w:rPr>
          <w:bCs/>
          <w:szCs w:val="24"/>
        </w:rPr>
        <w:fldChar w:fldCharType="separate"/>
      </w:r>
      <w:r w:rsidR="00CC64FC" w:rsidRPr="00CC64FC">
        <w:rPr>
          <w:bCs/>
          <w:noProof/>
          <w:szCs w:val="24"/>
        </w:rPr>
        <w:t xml:space="preserve">Kumar et al., </w:t>
      </w:r>
      <w:r w:rsidR="00CC64FC">
        <w:rPr>
          <w:bCs/>
          <w:noProof/>
          <w:szCs w:val="24"/>
        </w:rPr>
        <w:t>(</w:t>
      </w:r>
      <w:r w:rsidR="00CC64FC" w:rsidRPr="00CC64FC">
        <w:rPr>
          <w:bCs/>
          <w:noProof/>
          <w:szCs w:val="24"/>
        </w:rPr>
        <w:t>2021)</w:t>
      </w:r>
      <w:r w:rsidR="00CC64FC">
        <w:rPr>
          <w:bCs/>
          <w:szCs w:val="24"/>
        </w:rPr>
        <w:fldChar w:fldCharType="end"/>
      </w:r>
      <w:r w:rsidR="00CC64FC">
        <w:rPr>
          <w:bCs/>
          <w:szCs w:val="24"/>
        </w:rPr>
        <w:t xml:space="preserve"> </w:t>
      </w:r>
      <w:r>
        <w:rPr>
          <w:bCs/>
          <w:szCs w:val="24"/>
        </w:rPr>
        <w:t>showed that perceived risk has a significant impact on perceived usefulness. Therefore, the following hypotheses are proposed:</w:t>
      </w:r>
    </w:p>
    <w:p w:rsidR="00765A3D" w:rsidRDefault="00765A3D">
      <w:pPr>
        <w:shd w:val="clear" w:color="auto" w:fill="FFFFFF"/>
        <w:jc w:val="both"/>
        <w:rPr>
          <w:bCs/>
          <w:szCs w:val="24"/>
        </w:rPr>
      </w:pPr>
    </w:p>
    <w:p w:rsidR="00765A3D" w:rsidRDefault="006A5ACA">
      <w:pPr>
        <w:shd w:val="clear" w:color="auto" w:fill="FFFFFF"/>
        <w:jc w:val="both"/>
        <w:rPr>
          <w:bCs/>
          <w:szCs w:val="24"/>
        </w:rPr>
      </w:pPr>
      <w:r>
        <w:rPr>
          <w:bCs/>
          <w:szCs w:val="24"/>
        </w:rPr>
        <w:t>H6: Perceived risk has a positive and significant impact on perceived usefulness</w:t>
      </w:r>
    </w:p>
    <w:p w:rsidR="00765A3D" w:rsidRDefault="00765A3D">
      <w:pPr>
        <w:shd w:val="clear" w:color="auto" w:fill="FFFFFF"/>
        <w:jc w:val="both"/>
        <w:rPr>
          <w:bCs/>
          <w:szCs w:val="24"/>
        </w:rPr>
      </w:pPr>
    </w:p>
    <w:p w:rsidR="00765A3D" w:rsidRDefault="006A5ACA">
      <w:pPr>
        <w:shd w:val="clear" w:color="auto" w:fill="FFFFFF"/>
        <w:jc w:val="both"/>
        <w:rPr>
          <w:bCs/>
          <w:szCs w:val="24"/>
        </w:rPr>
      </w:pPr>
      <w:r>
        <w:rPr>
          <w:bCs/>
          <w:szCs w:val="24"/>
        </w:rPr>
        <w:t>H7: Perceived risk has a negative and significant impact on intention to use M-Banking</w:t>
      </w:r>
    </w:p>
    <w:p w:rsidR="00765A3D" w:rsidRDefault="00765A3D">
      <w:pPr>
        <w:shd w:val="clear" w:color="auto" w:fill="FFFFFF"/>
        <w:jc w:val="both"/>
        <w:rPr>
          <w:b/>
          <w:szCs w:val="24"/>
        </w:rPr>
      </w:pPr>
    </w:p>
    <w:p w:rsidR="00765A3D" w:rsidRDefault="006A5ACA">
      <w:pPr>
        <w:shd w:val="clear" w:color="auto" w:fill="FFFFFF"/>
        <w:jc w:val="both"/>
        <w:rPr>
          <w:b/>
          <w:szCs w:val="24"/>
        </w:rPr>
      </w:pPr>
      <w:r>
        <w:rPr>
          <w:b/>
          <w:szCs w:val="24"/>
        </w:rPr>
        <w:t>Trust</w:t>
      </w:r>
    </w:p>
    <w:p w:rsidR="00765A3D" w:rsidRDefault="006A5ACA" w:rsidP="00DB3A11">
      <w:pPr>
        <w:shd w:val="clear" w:color="auto" w:fill="FFFFFF"/>
        <w:ind w:firstLine="720"/>
        <w:jc w:val="both"/>
        <w:rPr>
          <w:bCs/>
          <w:szCs w:val="24"/>
        </w:rPr>
      </w:pPr>
      <w:r>
        <w:rPr>
          <w:bCs/>
          <w:szCs w:val="24"/>
        </w:rPr>
        <w:t xml:space="preserve">Trust is the core of all types of partnerships and is one of the determinants of intention behavior </w:t>
      </w:r>
      <w:r w:rsidR="00CC64FC">
        <w:rPr>
          <w:bCs/>
          <w:szCs w:val="24"/>
        </w:rPr>
        <w:fldChar w:fldCharType="begin" w:fldLock="1"/>
      </w:r>
      <w:r w:rsidR="00DB3A11">
        <w:rPr>
          <w:bCs/>
          <w:szCs w:val="24"/>
        </w:rPr>
        <w:instrText>ADDIN CSL_CITATION {"citationItems":[{"id":"ITEM-1","itemData":{"author":[{"dropping-particle":"","family":"Kumar","given":"Ashish","non-dropping-particle":"","parse-names":false,"suffix":""},{"dropping-particle":"","family":"Dhingra","given":"Sanjay","non-dropping-particle":"","parse-names":false,"suffix":""},{"dropping-particle":"","family":"Batra","given":"Vikas","non-dropping-particle":"","parse-names":false,"suffix":""},{"dropping-particle":"","family":"Purohit","given":"Harish","non-dropping-particle":"","parse-names":false,"suffix":""}],"container-title":"Journal of Open Innovation: Technology, Market, and Complexity","id":"ITEM-1","issue":"40","issued":{"date-parts":[["2020"]]},"page":"0-17","title":"A framework of mobile banking adoption in India A Framework of Mobile Banking Adoption in India","type":"article-journal","volume":"6"},"uris":["http://www.mendeley.com/documents/?uuid=3a62e71c-1453-466a-9b5c-1204b3c91f69"]}],"mendeley":{"formattedCitation":"(A. Kumar et al., 2020)","plainTextFormattedCitation":"(A. Kumar et al., 2020)","previouslyFormattedCitation":"(A. Kumar et al., 2020)"},"properties":{"noteIndex":0},"schema":"https://github.com/citation-style-language/schema/raw/master/csl-citation.json"}</w:instrText>
      </w:r>
      <w:r w:rsidR="00CC64FC">
        <w:rPr>
          <w:bCs/>
          <w:szCs w:val="24"/>
        </w:rPr>
        <w:fldChar w:fldCharType="separate"/>
      </w:r>
      <w:r w:rsidR="00CC64FC" w:rsidRPr="00CC64FC">
        <w:rPr>
          <w:bCs/>
          <w:noProof/>
          <w:szCs w:val="24"/>
        </w:rPr>
        <w:t>(A. Kumar et al., 2020)</w:t>
      </w:r>
      <w:r w:rsidR="00CC64FC">
        <w:rPr>
          <w:bCs/>
          <w:szCs w:val="24"/>
        </w:rPr>
        <w:fldChar w:fldCharType="end"/>
      </w:r>
      <w:r>
        <w:rPr>
          <w:bCs/>
          <w:szCs w:val="24"/>
        </w:rPr>
        <w:t xml:space="preserve">. Therefore, consumers trust that M-Banking is safe, reliable, and capable of protecting their interests </w:t>
      </w:r>
      <w:r w:rsidR="00DB3A11">
        <w:rPr>
          <w:bCs/>
          <w:szCs w:val="24"/>
        </w:rPr>
        <w:fldChar w:fldCharType="begin" w:fldLock="1"/>
      </w:r>
      <w:r w:rsidR="00DB3A11">
        <w:rPr>
          <w:bCs/>
          <w:szCs w:val="24"/>
        </w:rPr>
        <w:instrText>ADDIN CSL_CITATION {"citationItems":[{"id":"ITEM-1","itemData":{"DOI":"10.1007/978-3-030-16657-1","ISBN":"9783030166571","author":[{"dropping-particle":"","family":"Nguyen","given":"Thanh D","non-dropping-particle":"","parse-names":false,"suffix":""},{"dropping-particle":"","family":"Nguyen","given":"Thy Q. L.","non-dropping-particle":"","parse-names":false,"suffix":""},{"dropping-particle":"V.","family":"Nguyen","given":"Thi","non-dropping-particle":"","parse-names":false,"suffix":""},{"dropping-particle":"","family":"Tran","given":"Tung D. Tran","non-dropping-particle":"","parse-names":false,"suffix":""}],"container-title":"Advances in Intelligent Systems and Computing","id":"ITEM-1","issued":{"date-parts":[["2020"]]},"title":"Intention to Use M-Banking : The Role of E -WOM","type":"article-journal"},"uris":["http://www.mendeley.com/documents/?uuid=6a15c6c6-3c82-4d92-bf9e-378bf4d6aa27"]}],"mendeley":{"formattedCitation":"(T. D. Nguyen et al., 2020)","manualFormatting":"(T. D. Nguyen et al., 2020;","plainTextFormattedCitation":"(T. D. Nguyen et al., 2020)","previouslyFormattedCitation":"(T. D. Nguyen et al., 2020)"},"properties":{"noteIndex":0},"schema":"https://github.com/citation-style-language/schema/raw/master/csl-citation.json"}</w:instrText>
      </w:r>
      <w:r w:rsidR="00DB3A11">
        <w:rPr>
          <w:bCs/>
          <w:szCs w:val="24"/>
        </w:rPr>
        <w:fldChar w:fldCharType="separate"/>
      </w:r>
      <w:r w:rsidR="00DB3A11" w:rsidRPr="00DB3A11">
        <w:rPr>
          <w:bCs/>
          <w:noProof/>
          <w:szCs w:val="24"/>
        </w:rPr>
        <w:t>(T. D. Nguyen et al., 2020</w:t>
      </w:r>
      <w:r w:rsidR="00DB3A11">
        <w:rPr>
          <w:bCs/>
          <w:noProof/>
          <w:szCs w:val="24"/>
        </w:rPr>
        <w:t>;</w:t>
      </w:r>
      <w:r w:rsidR="00DB3A11">
        <w:rPr>
          <w:bCs/>
          <w:szCs w:val="24"/>
        </w:rPr>
        <w:fldChar w:fldCharType="end"/>
      </w:r>
      <w:r w:rsidR="00DB3A11">
        <w:rPr>
          <w:bCs/>
          <w:szCs w:val="24"/>
        </w:rPr>
        <w:t xml:space="preserve"> </w:t>
      </w:r>
      <w:r w:rsidR="00DB3A11">
        <w:rPr>
          <w:bCs/>
          <w:szCs w:val="24"/>
        </w:rPr>
        <w:fldChar w:fldCharType="begin" w:fldLock="1"/>
      </w:r>
      <w:r w:rsidR="00DB3A11">
        <w:rPr>
          <w:bCs/>
          <w:szCs w:val="24"/>
        </w:rPr>
        <w:instrText>ADDIN CSL_CITATION {"citationItems":[{"id":"ITEM-1","itemData":{"DOI":"10.2478/picbe-2021-0035","author":[{"dropping-particle":"","family":"Zarnadze","given":"Giorgi","non-dropping-particle":"","parse-names":false,"suffix":""}],"container-title":"Proceedings of the 15th International Conference on Business Excellence","id":"ITEM-1","issued":{"date-parts":[["2021"]]},"title":"The impact of WOM on the acceptance of mobile banking","type":"paper-conference"},"uris":["http://www.mendeley.com/documents/?uuid=2784574c-c593-4463-9674-cfccbe7598e3"]}],"mendeley":{"formattedCitation":"(Zarnadze, 2021)","manualFormatting":"Zarnadze, 2021)","plainTextFormattedCitation":"(Zarnadze, 2021)","previouslyFormattedCitation":"(Zarnadze, 2021)"},"properties":{"noteIndex":0},"schema":"https://github.com/citation-style-language/schema/raw/master/csl-citation.json"}</w:instrText>
      </w:r>
      <w:r w:rsidR="00DB3A11">
        <w:rPr>
          <w:bCs/>
          <w:szCs w:val="24"/>
        </w:rPr>
        <w:fldChar w:fldCharType="separate"/>
      </w:r>
      <w:r w:rsidR="00DB3A11" w:rsidRPr="00DB3A11">
        <w:rPr>
          <w:bCs/>
          <w:noProof/>
          <w:szCs w:val="24"/>
        </w:rPr>
        <w:t>Zarnadze, 2021)</w:t>
      </w:r>
      <w:r w:rsidR="00DB3A11">
        <w:rPr>
          <w:bCs/>
          <w:szCs w:val="24"/>
        </w:rPr>
        <w:fldChar w:fldCharType="end"/>
      </w:r>
      <w:r>
        <w:rPr>
          <w:bCs/>
          <w:szCs w:val="24"/>
        </w:rPr>
        <w:t xml:space="preserve">. </w:t>
      </w:r>
      <w:r w:rsidR="00DB3A11">
        <w:rPr>
          <w:bCs/>
          <w:szCs w:val="24"/>
        </w:rPr>
        <w:fldChar w:fldCharType="begin" w:fldLock="1"/>
      </w:r>
      <w:r w:rsidR="00DB3A11">
        <w:rPr>
          <w:bCs/>
          <w:szCs w:val="24"/>
        </w:rPr>
        <w:instrText>ADDIN CSL_CITATION {"citationItems":[{"id":"ITEM-1","itemData":{"DOI":"10.1016/j.tele.2012.11.001","ISSN":"0736-5853","author":[{"dropping-particle":"","family":"Hanafizadeh","given":"Payam","non-dropping-particle":"","parse-names":false,"suffix":""},{"dropping-particle":"","family":"Behboudi","given":"Mehdi","non-dropping-particle":"","parse-names":false,"suffix":""},{"dropping-particle":"","family":"Abedini","given":"Amir","non-dropping-particle":"","parse-names":false,"suffix":""},{"dropping-particle":"","family":"Jalilvand","given":"Marziyeh","non-dropping-particle":"","parse-names":false,"suffix":""},{"dropping-particle":"","family":"Tabar","given":"Shirkhani","non-dropping-particle":"","parse-names":false,"suffix":""}],"container-title":"Telematics and Informatics","id":"ITEM-1","issue":"1","issued":{"date-parts":[["2014"]]},"page":"62-78","publisher":"Elsevier Ltd","title":"Mobile-banking adoption by Iranian bank clients","type":"article-journal","volume":"31"},"uris":["http://www.mendeley.com/documents/?uuid=252a7ef4-e530-472e-8a3f-1cf39a059754"]}],"mendeley":{"formattedCitation":"(Hanafizadeh et al., 2014)","manualFormatting":"Hanafizadeh et al., (2014)","plainTextFormattedCitation":"(Hanafizadeh et al., 2014)","previouslyFormattedCitation":"(Hanafizadeh et al., 2014)"},"properties":{"noteIndex":0},"schema":"https://github.com/citation-style-language/schema/raw/master/csl-citation.json"}</w:instrText>
      </w:r>
      <w:r w:rsidR="00DB3A11">
        <w:rPr>
          <w:bCs/>
          <w:szCs w:val="24"/>
        </w:rPr>
        <w:fldChar w:fldCharType="separate"/>
      </w:r>
      <w:r w:rsidR="00DB3A11" w:rsidRPr="00DB3A11">
        <w:rPr>
          <w:bCs/>
          <w:noProof/>
          <w:szCs w:val="24"/>
        </w:rPr>
        <w:t xml:space="preserve">Hanafizadeh et al., </w:t>
      </w:r>
      <w:r w:rsidR="00DB3A11">
        <w:rPr>
          <w:bCs/>
          <w:noProof/>
          <w:szCs w:val="24"/>
        </w:rPr>
        <w:t>(</w:t>
      </w:r>
      <w:r w:rsidR="00DB3A11" w:rsidRPr="00DB3A11">
        <w:rPr>
          <w:bCs/>
          <w:noProof/>
          <w:szCs w:val="24"/>
        </w:rPr>
        <w:t>2014)</w:t>
      </w:r>
      <w:r w:rsidR="00DB3A11">
        <w:rPr>
          <w:bCs/>
          <w:szCs w:val="24"/>
        </w:rPr>
        <w:fldChar w:fldCharType="end"/>
      </w:r>
      <w:r w:rsidR="00DB3A11">
        <w:rPr>
          <w:bCs/>
          <w:szCs w:val="24"/>
        </w:rPr>
        <w:t xml:space="preserve"> from Iran, </w:t>
      </w:r>
      <w:r w:rsidR="00DB3A11">
        <w:rPr>
          <w:bCs/>
          <w:szCs w:val="24"/>
        </w:rPr>
        <w:fldChar w:fldCharType="begin" w:fldLock="1"/>
      </w:r>
      <w:r w:rsidR="00DB3A11">
        <w:rPr>
          <w:bCs/>
          <w:szCs w:val="24"/>
        </w:rPr>
        <w:instrText>ADDIN CSL_CITATION {"citationItems":[{"id":"ITEM-1","itemData":{"author":[{"dropping-particle":"","family":"Al-Jabri","given":"I.M.","non-dropping-particle":"","parse-names":false,"suffix":""}],"container-title":"South African Journal of Business Management","id":"ITEM-1","issue":"1","issued":{"date-parts":[["2015"]]},"page":"23-34","title":"The intention to use mobile banking : Further evidence from Saudi Arabia","type":"article-journal","volume":"46"},"uris":["http://www.mendeley.com/documents/?uuid=f4780398-d4b0-457b-9386-07df70fc0744"]}],"mendeley":{"formattedCitation":"(Al-Jabri, 2015)","manualFormatting":"Al-Jabri (2015)","plainTextFormattedCitation":"(Al-Jabri, 2015)","previouslyFormattedCitation":"(Al-Jabri, 2015)"},"properties":{"noteIndex":0},"schema":"https://github.com/citation-style-language/schema/raw/master/csl-citation.json"}</w:instrText>
      </w:r>
      <w:r w:rsidR="00DB3A11">
        <w:rPr>
          <w:bCs/>
          <w:szCs w:val="24"/>
        </w:rPr>
        <w:fldChar w:fldCharType="separate"/>
      </w:r>
      <w:r w:rsidR="00DB3A11">
        <w:rPr>
          <w:bCs/>
          <w:noProof/>
          <w:szCs w:val="24"/>
        </w:rPr>
        <w:t>Al-Jabri</w:t>
      </w:r>
      <w:r w:rsidR="00DB3A11" w:rsidRPr="00DB3A11">
        <w:rPr>
          <w:bCs/>
          <w:noProof/>
          <w:szCs w:val="24"/>
        </w:rPr>
        <w:t xml:space="preserve"> </w:t>
      </w:r>
      <w:r w:rsidR="00DB3A11">
        <w:rPr>
          <w:bCs/>
          <w:noProof/>
          <w:szCs w:val="24"/>
        </w:rPr>
        <w:t>(</w:t>
      </w:r>
      <w:r w:rsidR="00DB3A11" w:rsidRPr="00DB3A11">
        <w:rPr>
          <w:bCs/>
          <w:noProof/>
          <w:szCs w:val="24"/>
        </w:rPr>
        <w:t>2015)</w:t>
      </w:r>
      <w:r w:rsidR="00DB3A11">
        <w:rPr>
          <w:bCs/>
          <w:szCs w:val="24"/>
        </w:rPr>
        <w:fldChar w:fldCharType="end"/>
      </w:r>
      <w:r w:rsidR="00DB3A11">
        <w:rPr>
          <w:bCs/>
          <w:szCs w:val="24"/>
        </w:rPr>
        <w:t xml:space="preserve"> from </w:t>
      </w:r>
      <w:r>
        <w:rPr>
          <w:bCs/>
          <w:szCs w:val="24"/>
        </w:rPr>
        <w:t xml:space="preserve">Saudi Arabia, </w:t>
      </w:r>
      <w:r w:rsidR="00417C0D">
        <w:rPr>
          <w:bCs/>
          <w:szCs w:val="24"/>
        </w:rPr>
        <w:fldChar w:fldCharType="begin" w:fldLock="1"/>
      </w:r>
      <w:r w:rsidR="00417C0D">
        <w:rPr>
          <w:bCs/>
          <w:szCs w:val="24"/>
        </w:rPr>
        <w:instrText>ADDIN CSL_CITATION {"citationItems":[{"id":"ITEM-1","itemData":{"author":[{"dropping-particle":"","family":"Alalwan","given":"Ali Abdallah","non-dropping-particle":"","parse-names":false,"suffix":""},{"dropping-particle":"","family":"Yogesh K. Dwivedi","given":"Nripendra P. Rana and Michael D. Williams","non-dropping-particle":"","parse-names":false,"suffix":""}],"container-title":"Journal of Enterprise Information Management","id":"ITEM-1","issue":"1","issued":{"date-parts":[["2016"]]},"page":"118-139","title":"Consumer adoption of mobile banking in Jordan : Examining the role of usefulness , ease of use , perceived risk and self-efficacy","type":"article-journal","volume":"29"},"uris":["http://www.mendeley.com/documents/?uuid=4c6b8f27-9a37-4a9c-b68c-c93dfeb40a52"]}],"mendeley":{"formattedCitation":"(Alalwan &amp; Yogesh K. Dwivedi, 2016)","manualFormatting":"Alalwan &amp; Yogesh K. Dwivedi, (2016)","plainTextFormattedCitation":"(Alalwan &amp; Yogesh K. Dwivedi, 2016)"},"properties":{"noteIndex":0},"schema":"https://github.com/citation-style-language/schema/raw/master/csl-citation.json"}</w:instrText>
      </w:r>
      <w:r w:rsidR="00417C0D">
        <w:rPr>
          <w:bCs/>
          <w:szCs w:val="24"/>
        </w:rPr>
        <w:fldChar w:fldCharType="separate"/>
      </w:r>
      <w:r w:rsidR="00417C0D" w:rsidRPr="00417C0D">
        <w:rPr>
          <w:bCs/>
          <w:noProof/>
          <w:szCs w:val="24"/>
        </w:rPr>
        <w:t xml:space="preserve">Alalwan &amp; Yogesh K. Dwivedi, </w:t>
      </w:r>
      <w:r w:rsidR="00417C0D">
        <w:rPr>
          <w:bCs/>
          <w:noProof/>
          <w:szCs w:val="24"/>
        </w:rPr>
        <w:t>(</w:t>
      </w:r>
      <w:r w:rsidR="00417C0D" w:rsidRPr="00417C0D">
        <w:rPr>
          <w:bCs/>
          <w:noProof/>
          <w:szCs w:val="24"/>
        </w:rPr>
        <w:t>2016)</w:t>
      </w:r>
      <w:r w:rsidR="00417C0D">
        <w:rPr>
          <w:bCs/>
          <w:szCs w:val="24"/>
        </w:rPr>
        <w:fldChar w:fldCharType="end"/>
      </w:r>
      <w:r w:rsidR="005570BC">
        <w:rPr>
          <w:bCs/>
          <w:szCs w:val="24"/>
        </w:rPr>
        <w:t xml:space="preserve"> </w:t>
      </w:r>
      <w:r w:rsidR="00DB3A11">
        <w:rPr>
          <w:bCs/>
          <w:szCs w:val="24"/>
        </w:rPr>
        <w:t xml:space="preserve">from </w:t>
      </w:r>
      <w:r>
        <w:rPr>
          <w:bCs/>
          <w:szCs w:val="24"/>
        </w:rPr>
        <w:t xml:space="preserve">Jordan, and </w:t>
      </w:r>
      <w:r w:rsidR="00DB3A11">
        <w:rPr>
          <w:bCs/>
          <w:szCs w:val="24"/>
        </w:rPr>
        <w:fldChar w:fldCharType="begin" w:fldLock="1"/>
      </w:r>
      <w:r w:rsidR="00DB3A11">
        <w:rPr>
          <w:bCs/>
          <w:szCs w:val="24"/>
        </w:rPr>
        <w:instrText>ADDIN CSL_CITATION {"citationItems":[{"id":"ITEM-1","itemData":{"DOI":"10.13106/jafeb.2021.vol8.no11.0157","author":[{"dropping-particle":"","family":"Sang","given":"Nguyen Minh","non-dropping-particle":"","parse-names":false,"suffix":""}],"container-title":"Journal of Asian Finance, Economics and Business","id":"ITEM-1","issue":"11","issued":{"date-parts":[["2021"]]},"page":"157-167","title":"Critical Factors Affecting Consumer Intention of Using Mobile Banking Applications During COVID-19 Pandemic : An Empirical Study from Vietnam *","type":"article-journal","volume":"8"},"uris":["http://www.mendeley.com/documents/?uuid=13a5090b-383e-4212-a2b1-644963ac8674"]}],"mendeley":{"formattedCitation":"(Sang, 2021)","manualFormatting":"Sang, (2021)","plainTextFormattedCitation":"(Sang, 2021)","previouslyFormattedCitation":"(Sang, 2021)"},"properties":{"noteIndex":0},"schema":"https://github.com/citation-style-language/schema/raw/master/csl-citation.json"}</w:instrText>
      </w:r>
      <w:r w:rsidR="00DB3A11">
        <w:rPr>
          <w:bCs/>
          <w:szCs w:val="24"/>
        </w:rPr>
        <w:fldChar w:fldCharType="separate"/>
      </w:r>
      <w:r w:rsidR="00DB3A11" w:rsidRPr="00DB3A11">
        <w:rPr>
          <w:bCs/>
          <w:noProof/>
          <w:szCs w:val="24"/>
        </w:rPr>
        <w:t xml:space="preserve">Sang, </w:t>
      </w:r>
      <w:r w:rsidR="00DB3A11">
        <w:rPr>
          <w:bCs/>
          <w:noProof/>
          <w:szCs w:val="24"/>
        </w:rPr>
        <w:t>(</w:t>
      </w:r>
      <w:r w:rsidR="00DB3A11" w:rsidRPr="00DB3A11">
        <w:rPr>
          <w:bCs/>
          <w:noProof/>
          <w:szCs w:val="24"/>
        </w:rPr>
        <w:t>2021)</w:t>
      </w:r>
      <w:r w:rsidR="00DB3A11">
        <w:rPr>
          <w:bCs/>
          <w:szCs w:val="24"/>
        </w:rPr>
        <w:fldChar w:fldCharType="end"/>
      </w:r>
      <w:r w:rsidR="00DB3A11">
        <w:rPr>
          <w:bCs/>
          <w:szCs w:val="24"/>
        </w:rPr>
        <w:t xml:space="preserve"> from </w:t>
      </w:r>
      <w:r>
        <w:rPr>
          <w:bCs/>
          <w:szCs w:val="24"/>
        </w:rPr>
        <w:t>Vietnam proved that intention to use M-Banking is significantly influenced by trust in M-Banking. Therefore, this study proposes the following hypothesis:</w:t>
      </w:r>
    </w:p>
    <w:p w:rsidR="00CC64FC" w:rsidRDefault="00CC64FC" w:rsidP="00CC64FC">
      <w:pPr>
        <w:shd w:val="clear" w:color="auto" w:fill="FFFFFF"/>
        <w:ind w:firstLine="720"/>
        <w:jc w:val="both"/>
        <w:rPr>
          <w:bCs/>
          <w:szCs w:val="24"/>
        </w:rPr>
      </w:pPr>
    </w:p>
    <w:p w:rsidR="00765A3D" w:rsidRDefault="006A5ACA">
      <w:pPr>
        <w:shd w:val="clear" w:color="auto" w:fill="FFFFFF"/>
        <w:jc w:val="both"/>
        <w:rPr>
          <w:bCs/>
          <w:szCs w:val="24"/>
        </w:rPr>
      </w:pPr>
      <w:r>
        <w:rPr>
          <w:bCs/>
          <w:szCs w:val="24"/>
        </w:rPr>
        <w:t>H8: Trust will have a positive and significant impact on intention to use M-Banking</w:t>
      </w:r>
    </w:p>
    <w:p w:rsidR="00CC64FC" w:rsidRDefault="00CC64FC">
      <w:pPr>
        <w:shd w:val="clear" w:color="auto" w:fill="FFFFFF"/>
        <w:jc w:val="both"/>
        <w:rPr>
          <w:sz w:val="22"/>
          <w:szCs w:val="22"/>
        </w:rPr>
      </w:pPr>
    </w:p>
    <w:p w:rsidR="00765A3D" w:rsidRDefault="006A5ACA">
      <w:pPr>
        <w:pStyle w:val="Heading1"/>
        <w:numPr>
          <w:ilvl w:val="0"/>
          <w:numId w:val="1"/>
        </w:numPr>
        <w:suppressAutoHyphens/>
        <w:spacing w:after="60"/>
        <w:ind w:left="360"/>
        <w:rPr>
          <w:i w:val="0"/>
          <w:sz w:val="22"/>
          <w:szCs w:val="22"/>
        </w:rPr>
      </w:pPr>
      <w:r>
        <w:rPr>
          <w:i w:val="0"/>
          <w:iCs/>
          <w:sz w:val="24"/>
          <w:szCs w:val="24"/>
        </w:rPr>
        <w:t>METHOD</w:t>
      </w:r>
      <w:r>
        <w:rPr>
          <w:i w:val="0"/>
          <w:iCs/>
          <w:sz w:val="22"/>
          <w:szCs w:val="22"/>
        </w:rPr>
        <w:t xml:space="preserve"> </w:t>
      </w:r>
    </w:p>
    <w:p w:rsidR="00765A3D" w:rsidRDefault="006A5ACA" w:rsidP="006A5ACA">
      <w:pPr>
        <w:keepNext/>
        <w:spacing w:after="60"/>
        <w:ind w:firstLine="720"/>
        <w:jc w:val="both"/>
        <w:rPr>
          <w:szCs w:val="24"/>
        </w:rPr>
      </w:pPr>
      <w:r>
        <w:rPr>
          <w:szCs w:val="24"/>
        </w:rPr>
        <w:t xml:space="preserve">This study identified the factors influencing trust, usefulness, and intention to use M-Banking. It employed a purposive sampling technique to collect data and questionnaire instruments using a quantitative approach to measure the variables of usefulness, ease of use, risk, trust, and intention. Furthermore, the items were measured using a 5-point </w:t>
      </w:r>
      <w:proofErr w:type="spellStart"/>
      <w:r>
        <w:rPr>
          <w:szCs w:val="24"/>
        </w:rPr>
        <w:t>Likert</w:t>
      </w:r>
      <w:proofErr w:type="spellEnd"/>
      <w:r>
        <w:rPr>
          <w:szCs w:val="24"/>
        </w:rPr>
        <w:t xml:space="preserve"> scale, where strongly disagree (SD) to strongly agree (SA) had a value of 1 to 5, respectively. A total of 275 responses from M-Banking users in the Jakarta Metropolitan area, specifically Jakarta, Bogor, </w:t>
      </w:r>
      <w:proofErr w:type="spellStart"/>
      <w:r>
        <w:rPr>
          <w:szCs w:val="24"/>
        </w:rPr>
        <w:t>Depok</w:t>
      </w:r>
      <w:proofErr w:type="spellEnd"/>
      <w:r>
        <w:rPr>
          <w:szCs w:val="24"/>
        </w:rPr>
        <w:t xml:space="preserve">, </w:t>
      </w:r>
      <w:proofErr w:type="spellStart"/>
      <w:r>
        <w:rPr>
          <w:szCs w:val="24"/>
        </w:rPr>
        <w:t>Tangerang</w:t>
      </w:r>
      <w:proofErr w:type="spellEnd"/>
      <w:r>
        <w:rPr>
          <w:szCs w:val="24"/>
        </w:rPr>
        <w:t xml:space="preserve">, </w:t>
      </w:r>
      <w:proofErr w:type="spellStart"/>
      <w:r>
        <w:rPr>
          <w:szCs w:val="24"/>
        </w:rPr>
        <w:t>Tangerang</w:t>
      </w:r>
      <w:proofErr w:type="spellEnd"/>
      <w:r>
        <w:rPr>
          <w:szCs w:val="24"/>
        </w:rPr>
        <w:t xml:space="preserve"> Selatan, and </w:t>
      </w:r>
      <w:proofErr w:type="spellStart"/>
      <w:r>
        <w:rPr>
          <w:szCs w:val="24"/>
        </w:rPr>
        <w:t>Bekasi</w:t>
      </w:r>
      <w:proofErr w:type="spellEnd"/>
      <w:r>
        <w:rPr>
          <w:szCs w:val="24"/>
        </w:rPr>
        <w:t xml:space="preserve">, were obtained. However, after data screening, 10 responses were removed due to incomplete or missing values, resulting in a final sample of 265. In studies that utilized three or more items per variable, a sample size of 100 was generally deemed adequate for achieving convergence </w:t>
      </w:r>
      <w:r w:rsidR="00DB3A11">
        <w:rPr>
          <w:szCs w:val="24"/>
        </w:rPr>
        <w:fldChar w:fldCharType="begin" w:fldLock="1"/>
      </w:r>
      <w:r w:rsidR="00DB3A11">
        <w:rPr>
          <w:szCs w:val="24"/>
        </w:rPr>
        <w:instrText>ADDIN CSL_CITATION {"citationItems":[{"id":"ITEM-1","itemData":{"DOI":"10.1108/JIMA-04-2017-0038","ISSN":"17590841","abstract":"Purpose: The purpose of this study is to examine the factors which affect mobile banking (M-banking) acceptance in Islamic banks of Pakistan by using the modified uniﬁed theory of acceptance and use of technology (UTAUT) model. The performance expectancy, facilitating conditions, social influence, effort expectancy, perceived value, habit and hedonic motivation are taken as independent variables. Similarly, the intention to adopt M-banking is taken as the mediator, and actual usage is used as the dependent variable. Design/methodology/approach: The data are collected by using the survey method, and the five-point Likert scale is used for this purpose. The statistical techniques applied to the dataset were confirmatory factor analysis and partial least square structure equation modeling. Findings: The empirical evidence shows that all the variables except for social influence have a significant positive effect on the intention which results in actual usage. Practical implications: This study will help the Islamic banks in boosting the M-banking growth and decision-makers in crafting those strategies that increase the M-banking acceptance. Originality/value: This paper makes a unique contribution to the literature with reference to Pakistan, being a pioneering attempt to investigate the factors which affect M-banking acceptance in Islamic banks of Pakistan by using the modified UTAUT model.","author":[{"dropping-particle":"","family":"Raza","given":"Syed Ali","non-dropping-particle":"","parse-names":false,"suffix":""},{"dropping-particle":"","family":"Shah","given":"Nida","non-dropping-particle":"","parse-names":false,"suffix":""},{"dropping-particle":"","family":"Ali","given":"Muhammad","non-dropping-particle":"","parse-names":false,"suffix":""}],"container-title":"Journal of Islamic Marketing","id":"ITEM-1","issue":"1","issued":{"date-parts":[["2018"]]},"page":"357-376","title":"Acceptance of mobile banking in Islamic banks: evidence from modified UTAUT model","type":"article-journal","volume":"10"},"uris":["http://www.mendeley.com/documents/?uuid=22940a40-e37f-41d7-87f8-4bf5fe6fb0fd"]}],"mendeley":{"formattedCitation":"(Raza et al., 2018)","plainTextFormattedCitation":"(Raza et al., 2018)","previouslyFormattedCitation":"(Raza et al., 2018)"},"properties":{"noteIndex":0},"schema":"https://github.com/citation-style-language/schema/raw/master/csl-citation.json"}</w:instrText>
      </w:r>
      <w:r w:rsidR="00DB3A11">
        <w:rPr>
          <w:szCs w:val="24"/>
        </w:rPr>
        <w:fldChar w:fldCharType="separate"/>
      </w:r>
      <w:r w:rsidR="00DB3A11" w:rsidRPr="00DB3A11">
        <w:rPr>
          <w:noProof/>
          <w:szCs w:val="24"/>
        </w:rPr>
        <w:t>(Raza et al., 2018)</w:t>
      </w:r>
      <w:r w:rsidR="00DB3A11">
        <w:rPr>
          <w:szCs w:val="24"/>
        </w:rPr>
        <w:fldChar w:fldCharType="end"/>
      </w:r>
      <w:r w:rsidR="00DB3A11">
        <w:rPr>
          <w:szCs w:val="24"/>
        </w:rPr>
        <w:t xml:space="preserve">. </w:t>
      </w:r>
      <w:r>
        <w:rPr>
          <w:szCs w:val="24"/>
        </w:rPr>
        <w:t xml:space="preserve">The </w:t>
      </w:r>
      <w:proofErr w:type="spellStart"/>
      <w:r>
        <w:rPr>
          <w:szCs w:val="24"/>
        </w:rPr>
        <w:t>SmartPLS</w:t>
      </w:r>
      <w:proofErr w:type="spellEnd"/>
      <w:r>
        <w:rPr>
          <w:szCs w:val="24"/>
        </w:rPr>
        <w:t xml:space="preserve"> 3.3.9 analysis tool was used to analyze the model and test the 8 hypotheses proposed in this study.</w:t>
      </w:r>
    </w:p>
    <w:p w:rsidR="00765A3D" w:rsidRDefault="00765A3D">
      <w:pPr>
        <w:spacing w:after="240"/>
        <w:ind w:firstLine="360"/>
        <w:jc w:val="both"/>
        <w:rPr>
          <w:sz w:val="22"/>
          <w:szCs w:val="22"/>
        </w:rPr>
      </w:pPr>
    </w:p>
    <w:p w:rsidR="00765A3D" w:rsidRDefault="006A5ACA">
      <w:pPr>
        <w:numPr>
          <w:ilvl w:val="0"/>
          <w:numId w:val="1"/>
        </w:numPr>
        <w:spacing w:after="120"/>
        <w:ind w:left="360"/>
        <w:rPr>
          <w:sz w:val="22"/>
          <w:szCs w:val="22"/>
        </w:rPr>
      </w:pPr>
      <w:r>
        <w:rPr>
          <w:b/>
          <w:szCs w:val="24"/>
        </w:rPr>
        <w:lastRenderedPageBreak/>
        <w:t>RESULTS AND DISCUSSION</w:t>
      </w:r>
    </w:p>
    <w:p w:rsidR="00765A3D" w:rsidRDefault="006A5ACA">
      <w:pPr>
        <w:spacing w:after="120"/>
        <w:rPr>
          <w:b/>
          <w:szCs w:val="24"/>
        </w:rPr>
      </w:pPr>
      <w:r>
        <w:rPr>
          <w:b/>
          <w:szCs w:val="24"/>
        </w:rPr>
        <w:t>3.1. Respondents’ Characteristics</w:t>
      </w:r>
    </w:p>
    <w:p w:rsidR="00765A3D" w:rsidRDefault="006A5ACA">
      <w:pPr>
        <w:spacing w:after="120"/>
        <w:ind w:firstLine="720"/>
        <w:jc w:val="both"/>
        <w:rPr>
          <w:szCs w:val="24"/>
        </w:rPr>
      </w:pPr>
      <w:r>
        <w:rPr>
          <w:szCs w:val="24"/>
        </w:rPr>
        <w:t xml:space="preserve">An online structured questionnaire was used to obtain primary data, and respondents were Muslims who use M-Banking and reside in Jakarta, Bogor, </w:t>
      </w:r>
      <w:proofErr w:type="spellStart"/>
      <w:r>
        <w:rPr>
          <w:szCs w:val="24"/>
        </w:rPr>
        <w:t>Depok</w:t>
      </w:r>
      <w:proofErr w:type="spellEnd"/>
      <w:r>
        <w:rPr>
          <w:szCs w:val="24"/>
        </w:rPr>
        <w:t xml:space="preserve">, </w:t>
      </w:r>
      <w:proofErr w:type="spellStart"/>
      <w:r>
        <w:rPr>
          <w:szCs w:val="24"/>
        </w:rPr>
        <w:t>Tangerang</w:t>
      </w:r>
      <w:proofErr w:type="spellEnd"/>
      <w:r>
        <w:rPr>
          <w:szCs w:val="24"/>
        </w:rPr>
        <w:t xml:space="preserve">, South </w:t>
      </w:r>
      <w:proofErr w:type="spellStart"/>
      <w:r>
        <w:rPr>
          <w:szCs w:val="24"/>
        </w:rPr>
        <w:t>Tangerang</w:t>
      </w:r>
      <w:proofErr w:type="spellEnd"/>
      <w:r>
        <w:rPr>
          <w:szCs w:val="24"/>
        </w:rPr>
        <w:t xml:space="preserve">, and </w:t>
      </w:r>
      <w:proofErr w:type="spellStart"/>
      <w:r>
        <w:rPr>
          <w:szCs w:val="24"/>
        </w:rPr>
        <w:t>Bekasi</w:t>
      </w:r>
      <w:proofErr w:type="spellEnd"/>
      <w:r>
        <w:rPr>
          <w:szCs w:val="24"/>
        </w:rPr>
        <w:t xml:space="preserve"> areas. Respondents' characteristics are further described in Table 1.</w:t>
      </w:r>
    </w:p>
    <w:p w:rsidR="00765A3D" w:rsidRDefault="006A5ACA">
      <w:pPr>
        <w:shd w:val="clear" w:color="auto" w:fill="FFFFFF"/>
        <w:jc w:val="center"/>
        <w:rPr>
          <w:b/>
          <w:szCs w:val="24"/>
        </w:rPr>
      </w:pPr>
      <w:proofErr w:type="gramStart"/>
      <w:r>
        <w:rPr>
          <w:b/>
          <w:szCs w:val="24"/>
        </w:rPr>
        <w:t>Table 1.</w:t>
      </w:r>
      <w:proofErr w:type="gramEnd"/>
      <w:r>
        <w:rPr>
          <w:b/>
          <w:szCs w:val="24"/>
        </w:rPr>
        <w:t xml:space="preserve"> Respondents’ Characteristics </w:t>
      </w:r>
    </w:p>
    <w:tbl>
      <w:tblPr>
        <w:tblStyle w:val="Style19"/>
        <w:tblW w:w="8535" w:type="dxa"/>
        <w:tblInd w:w="-21" w:type="dxa"/>
        <w:tblLayout w:type="fixed"/>
        <w:tblLook w:val="04A0" w:firstRow="1" w:lastRow="0" w:firstColumn="1" w:lastColumn="0" w:noHBand="0" w:noVBand="1"/>
      </w:tblPr>
      <w:tblGrid>
        <w:gridCol w:w="2265"/>
        <w:gridCol w:w="2550"/>
        <w:gridCol w:w="1830"/>
        <w:gridCol w:w="1890"/>
      </w:tblGrid>
      <w:tr w:rsidR="00765A3D">
        <w:trPr>
          <w:trHeight w:val="300"/>
        </w:trPr>
        <w:tc>
          <w:tcPr>
            <w:tcW w:w="2265" w:type="dxa"/>
            <w:tcBorders>
              <w:top w:val="single" w:sz="4" w:space="0" w:color="000000"/>
              <w:left w:val="nil"/>
              <w:bottom w:val="single" w:sz="4" w:space="0" w:color="000000"/>
              <w:right w:val="nil"/>
            </w:tcBorders>
            <w:shd w:val="clear" w:color="auto" w:fill="auto"/>
            <w:vAlign w:val="bottom"/>
          </w:tcPr>
          <w:p w:rsidR="00765A3D" w:rsidRDefault="006A5ACA">
            <w:pPr>
              <w:rPr>
                <w:szCs w:val="24"/>
              </w:rPr>
            </w:pPr>
            <w:r>
              <w:rPr>
                <w:szCs w:val="24"/>
              </w:rPr>
              <w:t>Variable</w:t>
            </w:r>
          </w:p>
        </w:tc>
        <w:tc>
          <w:tcPr>
            <w:tcW w:w="2550" w:type="dxa"/>
            <w:tcBorders>
              <w:top w:val="single" w:sz="4" w:space="0" w:color="000000"/>
              <w:left w:val="nil"/>
              <w:bottom w:val="single" w:sz="4" w:space="0" w:color="000000"/>
              <w:right w:val="nil"/>
            </w:tcBorders>
            <w:shd w:val="clear" w:color="auto" w:fill="auto"/>
            <w:vAlign w:val="bottom"/>
          </w:tcPr>
          <w:p w:rsidR="00765A3D" w:rsidRDefault="006A5ACA">
            <w:pPr>
              <w:rPr>
                <w:szCs w:val="24"/>
              </w:rPr>
            </w:pPr>
            <w:r>
              <w:rPr>
                <w:szCs w:val="24"/>
              </w:rPr>
              <w:t>Category</w:t>
            </w:r>
          </w:p>
        </w:tc>
        <w:tc>
          <w:tcPr>
            <w:tcW w:w="1830" w:type="dxa"/>
            <w:tcBorders>
              <w:top w:val="single" w:sz="4" w:space="0" w:color="000000"/>
              <w:left w:val="nil"/>
              <w:bottom w:val="single" w:sz="4" w:space="0" w:color="000000"/>
              <w:right w:val="nil"/>
            </w:tcBorders>
            <w:shd w:val="clear" w:color="auto" w:fill="auto"/>
            <w:vAlign w:val="bottom"/>
          </w:tcPr>
          <w:p w:rsidR="00765A3D" w:rsidRDefault="006A5ACA">
            <w:pPr>
              <w:rPr>
                <w:szCs w:val="24"/>
              </w:rPr>
            </w:pPr>
            <w:r>
              <w:rPr>
                <w:szCs w:val="24"/>
              </w:rPr>
              <w:t>Frequency</w:t>
            </w:r>
          </w:p>
        </w:tc>
        <w:tc>
          <w:tcPr>
            <w:tcW w:w="1890" w:type="dxa"/>
            <w:tcBorders>
              <w:top w:val="single" w:sz="4" w:space="0" w:color="000000"/>
              <w:left w:val="nil"/>
              <w:bottom w:val="single" w:sz="4" w:space="0" w:color="000000"/>
              <w:right w:val="nil"/>
            </w:tcBorders>
            <w:shd w:val="clear" w:color="auto" w:fill="auto"/>
            <w:vAlign w:val="bottom"/>
          </w:tcPr>
          <w:p w:rsidR="00765A3D" w:rsidRDefault="006A5ACA">
            <w:pPr>
              <w:rPr>
                <w:szCs w:val="24"/>
              </w:rPr>
            </w:pPr>
            <w:r>
              <w:rPr>
                <w:szCs w:val="24"/>
              </w:rPr>
              <w:t>Percentage</w:t>
            </w:r>
          </w:p>
        </w:tc>
      </w:tr>
      <w:tr w:rsidR="00765A3D">
        <w:trPr>
          <w:trHeight w:val="300"/>
        </w:trPr>
        <w:tc>
          <w:tcPr>
            <w:tcW w:w="2265" w:type="dxa"/>
            <w:vMerge w:val="restart"/>
            <w:tcBorders>
              <w:top w:val="single" w:sz="4" w:space="0" w:color="000000"/>
              <w:left w:val="nil"/>
              <w:bottom w:val="nil"/>
              <w:right w:val="nil"/>
            </w:tcBorders>
            <w:shd w:val="clear" w:color="auto" w:fill="auto"/>
            <w:vAlign w:val="center"/>
          </w:tcPr>
          <w:p w:rsidR="00765A3D" w:rsidRDefault="006A5ACA">
            <w:pPr>
              <w:rPr>
                <w:szCs w:val="24"/>
              </w:rPr>
            </w:pPr>
            <w:r>
              <w:rPr>
                <w:szCs w:val="24"/>
              </w:rPr>
              <w:t>Gender</w:t>
            </w: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Man</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123</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46.42%</w:t>
            </w:r>
          </w:p>
        </w:tc>
      </w:tr>
      <w:tr w:rsidR="00765A3D">
        <w:trPr>
          <w:trHeight w:val="315"/>
        </w:trPr>
        <w:tc>
          <w:tcPr>
            <w:tcW w:w="2265" w:type="dxa"/>
            <w:vMerge/>
            <w:tcBorders>
              <w:top w:val="single" w:sz="4" w:space="0" w:color="000000"/>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center"/>
          </w:tcPr>
          <w:p w:rsidR="00765A3D" w:rsidRDefault="006A5ACA">
            <w:pPr>
              <w:rPr>
                <w:szCs w:val="24"/>
              </w:rPr>
            </w:pPr>
            <w:r>
              <w:rPr>
                <w:szCs w:val="24"/>
              </w:rPr>
              <w:t>Woman</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142</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53.58%</w:t>
            </w:r>
          </w:p>
        </w:tc>
      </w:tr>
      <w:tr w:rsidR="00765A3D">
        <w:trPr>
          <w:trHeight w:val="315"/>
        </w:trPr>
        <w:tc>
          <w:tcPr>
            <w:tcW w:w="2265" w:type="dxa"/>
            <w:vMerge w:val="restart"/>
            <w:tcBorders>
              <w:top w:val="nil"/>
              <w:left w:val="nil"/>
              <w:bottom w:val="nil"/>
              <w:right w:val="nil"/>
            </w:tcBorders>
            <w:shd w:val="clear" w:color="auto" w:fill="auto"/>
            <w:vAlign w:val="center"/>
          </w:tcPr>
          <w:p w:rsidR="00765A3D" w:rsidRDefault="006A5ACA">
            <w:pPr>
              <w:rPr>
                <w:szCs w:val="24"/>
              </w:rPr>
            </w:pPr>
            <w:r>
              <w:rPr>
                <w:szCs w:val="24"/>
              </w:rPr>
              <w:t>Status</w:t>
            </w:r>
          </w:p>
        </w:tc>
        <w:tc>
          <w:tcPr>
            <w:tcW w:w="2550" w:type="dxa"/>
            <w:tcBorders>
              <w:top w:val="nil"/>
              <w:left w:val="nil"/>
              <w:bottom w:val="nil"/>
              <w:right w:val="nil"/>
            </w:tcBorders>
            <w:shd w:val="clear" w:color="auto" w:fill="auto"/>
            <w:vAlign w:val="center"/>
          </w:tcPr>
          <w:p w:rsidR="00765A3D" w:rsidRDefault="006A5ACA">
            <w:pPr>
              <w:rPr>
                <w:szCs w:val="24"/>
              </w:rPr>
            </w:pPr>
            <w:r>
              <w:rPr>
                <w:szCs w:val="24"/>
              </w:rPr>
              <w:t>Single</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248</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93.58%</w:t>
            </w:r>
          </w:p>
        </w:tc>
      </w:tr>
      <w:tr w:rsidR="00765A3D">
        <w:trPr>
          <w:trHeight w:val="300"/>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center"/>
          </w:tcPr>
          <w:p w:rsidR="00765A3D" w:rsidRDefault="006A5ACA">
            <w:pPr>
              <w:rPr>
                <w:szCs w:val="24"/>
              </w:rPr>
            </w:pPr>
            <w:r>
              <w:rPr>
                <w:szCs w:val="24"/>
              </w:rPr>
              <w:t>Married</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17</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6.42%</w:t>
            </w:r>
          </w:p>
        </w:tc>
      </w:tr>
      <w:tr w:rsidR="00765A3D">
        <w:trPr>
          <w:trHeight w:val="300"/>
        </w:trPr>
        <w:tc>
          <w:tcPr>
            <w:tcW w:w="2265" w:type="dxa"/>
            <w:vMerge w:val="restart"/>
            <w:tcBorders>
              <w:top w:val="nil"/>
              <w:left w:val="nil"/>
              <w:bottom w:val="nil"/>
              <w:right w:val="nil"/>
            </w:tcBorders>
            <w:shd w:val="clear" w:color="auto" w:fill="auto"/>
            <w:vAlign w:val="center"/>
          </w:tcPr>
          <w:p w:rsidR="00765A3D" w:rsidRDefault="006A5ACA">
            <w:pPr>
              <w:rPr>
                <w:szCs w:val="24"/>
              </w:rPr>
            </w:pPr>
            <w:r>
              <w:rPr>
                <w:szCs w:val="24"/>
              </w:rPr>
              <w:t>Age</w:t>
            </w: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18-24</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244</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92.42%</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25-34</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13</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4.92%</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35-44</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7</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2.65%</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45-54</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0</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0.00%</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06396F">
            <w:pPr>
              <w:rPr>
                <w:szCs w:val="24"/>
              </w:rPr>
            </w:pPr>
            <w:sdt>
              <w:sdtPr>
                <w:tag w:val="goog_rdk_0"/>
                <w:id w:val="1"/>
              </w:sdtPr>
              <w:sdtEndPr/>
              <w:sdtContent>
                <w:r w:rsidR="006A5ACA">
                  <w:rPr>
                    <w:rFonts w:eastAsia="Gungsuh"/>
                    <w:szCs w:val="24"/>
                  </w:rPr>
                  <w:t>≥ 55</w:t>
                </w:r>
              </w:sdtContent>
            </w:sdt>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0</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0.00%</w:t>
            </w:r>
          </w:p>
        </w:tc>
      </w:tr>
      <w:tr w:rsidR="00765A3D">
        <w:trPr>
          <w:trHeight w:val="315"/>
        </w:trPr>
        <w:tc>
          <w:tcPr>
            <w:tcW w:w="2265" w:type="dxa"/>
            <w:vMerge w:val="restart"/>
            <w:tcBorders>
              <w:top w:val="nil"/>
              <w:left w:val="nil"/>
              <w:bottom w:val="nil"/>
              <w:right w:val="nil"/>
            </w:tcBorders>
            <w:shd w:val="clear" w:color="auto" w:fill="auto"/>
            <w:vAlign w:val="center"/>
          </w:tcPr>
          <w:p w:rsidR="00765A3D" w:rsidRDefault="006A5ACA">
            <w:pPr>
              <w:rPr>
                <w:szCs w:val="24"/>
              </w:rPr>
            </w:pPr>
            <w:r>
              <w:rPr>
                <w:szCs w:val="24"/>
              </w:rPr>
              <w:t>Education</w:t>
            </w: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Junior High School</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0</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0.00%</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Senior High School</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109</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41.13%</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Bachelor Degree</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148</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55.85%</w:t>
            </w:r>
          </w:p>
        </w:tc>
      </w:tr>
      <w:tr w:rsidR="00765A3D">
        <w:trPr>
          <w:trHeight w:val="300"/>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Master Degree</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8</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3.02%</w:t>
            </w:r>
          </w:p>
        </w:tc>
      </w:tr>
      <w:tr w:rsidR="00765A3D">
        <w:trPr>
          <w:trHeight w:val="300"/>
        </w:trPr>
        <w:tc>
          <w:tcPr>
            <w:tcW w:w="2265" w:type="dxa"/>
            <w:vMerge w:val="restart"/>
            <w:tcBorders>
              <w:top w:val="nil"/>
              <w:left w:val="nil"/>
              <w:bottom w:val="nil"/>
              <w:right w:val="nil"/>
            </w:tcBorders>
            <w:shd w:val="clear" w:color="auto" w:fill="auto"/>
            <w:vAlign w:val="center"/>
          </w:tcPr>
          <w:p w:rsidR="00765A3D" w:rsidRDefault="006A5ACA">
            <w:pPr>
              <w:rPr>
                <w:szCs w:val="24"/>
              </w:rPr>
            </w:pPr>
            <w:r>
              <w:rPr>
                <w:szCs w:val="24"/>
              </w:rPr>
              <w:t>Domicile</w:t>
            </w: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Jakarta</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59</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22.26%</w:t>
            </w:r>
          </w:p>
        </w:tc>
      </w:tr>
      <w:tr w:rsidR="00765A3D">
        <w:trPr>
          <w:trHeight w:val="300"/>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Bogor</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59</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22.26%</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proofErr w:type="spellStart"/>
            <w:r>
              <w:rPr>
                <w:szCs w:val="24"/>
              </w:rPr>
              <w:t>Depok</w:t>
            </w:r>
            <w:proofErr w:type="spellEnd"/>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33</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12.45%</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proofErr w:type="spellStart"/>
            <w:r>
              <w:rPr>
                <w:szCs w:val="24"/>
              </w:rPr>
              <w:t>Tangerang</w:t>
            </w:r>
            <w:proofErr w:type="spellEnd"/>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73</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27.55%</w:t>
            </w:r>
          </w:p>
        </w:tc>
      </w:tr>
      <w:tr w:rsidR="00765A3D">
        <w:trPr>
          <w:trHeight w:val="300"/>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 xml:space="preserve">South </w:t>
            </w:r>
            <w:proofErr w:type="spellStart"/>
            <w:r>
              <w:rPr>
                <w:szCs w:val="24"/>
              </w:rPr>
              <w:t>Tangerang</w:t>
            </w:r>
            <w:proofErr w:type="spellEnd"/>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34</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12.83%</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proofErr w:type="spellStart"/>
            <w:r>
              <w:rPr>
                <w:szCs w:val="24"/>
              </w:rPr>
              <w:t>Bekasi</w:t>
            </w:r>
            <w:proofErr w:type="spellEnd"/>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7</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2.64%</w:t>
            </w:r>
          </w:p>
        </w:tc>
      </w:tr>
      <w:tr w:rsidR="00765A3D">
        <w:trPr>
          <w:trHeight w:val="300"/>
        </w:trPr>
        <w:tc>
          <w:tcPr>
            <w:tcW w:w="2265" w:type="dxa"/>
            <w:vMerge w:val="restart"/>
            <w:tcBorders>
              <w:top w:val="nil"/>
              <w:left w:val="nil"/>
              <w:bottom w:val="nil"/>
              <w:right w:val="nil"/>
            </w:tcBorders>
            <w:shd w:val="clear" w:color="auto" w:fill="auto"/>
            <w:vAlign w:val="center"/>
          </w:tcPr>
          <w:p w:rsidR="00765A3D" w:rsidRDefault="006A5ACA">
            <w:pPr>
              <w:rPr>
                <w:szCs w:val="24"/>
              </w:rPr>
            </w:pPr>
            <w:r>
              <w:rPr>
                <w:szCs w:val="24"/>
              </w:rPr>
              <w:t>Work</w:t>
            </w: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Private sector employee</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9</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3.40%</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Student</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241</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90.94%</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Civil Servant</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4</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1.51%</w:t>
            </w:r>
          </w:p>
        </w:tc>
      </w:tr>
      <w:tr w:rsidR="00765A3D">
        <w:trPr>
          <w:trHeight w:val="315"/>
        </w:trPr>
        <w:tc>
          <w:tcPr>
            <w:tcW w:w="2265" w:type="dxa"/>
            <w:vMerge/>
            <w:tcBorders>
              <w:top w:val="nil"/>
              <w:left w:val="nil"/>
              <w:bottom w:val="nil"/>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Businessman</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11</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4.15%</w:t>
            </w:r>
          </w:p>
        </w:tc>
      </w:tr>
      <w:tr w:rsidR="00765A3D">
        <w:trPr>
          <w:trHeight w:val="315"/>
        </w:trPr>
        <w:tc>
          <w:tcPr>
            <w:tcW w:w="2265" w:type="dxa"/>
            <w:vMerge w:val="restart"/>
            <w:tcBorders>
              <w:top w:val="nil"/>
              <w:left w:val="nil"/>
              <w:bottom w:val="single" w:sz="4" w:space="0" w:color="000000"/>
              <w:right w:val="nil"/>
            </w:tcBorders>
            <w:shd w:val="clear" w:color="auto" w:fill="auto"/>
            <w:vAlign w:val="center"/>
          </w:tcPr>
          <w:p w:rsidR="00765A3D" w:rsidRDefault="006A5ACA">
            <w:pPr>
              <w:rPr>
                <w:szCs w:val="24"/>
              </w:rPr>
            </w:pPr>
            <w:r>
              <w:rPr>
                <w:szCs w:val="24"/>
              </w:rPr>
              <w:t>Long time using M-Banking</w:t>
            </w: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&lt; 6 Months</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152</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57.36%</w:t>
            </w:r>
          </w:p>
        </w:tc>
      </w:tr>
      <w:tr w:rsidR="00765A3D">
        <w:trPr>
          <w:trHeight w:val="315"/>
        </w:trPr>
        <w:tc>
          <w:tcPr>
            <w:tcW w:w="2265" w:type="dxa"/>
            <w:vMerge/>
            <w:tcBorders>
              <w:top w:val="nil"/>
              <w:left w:val="nil"/>
              <w:bottom w:val="single" w:sz="4" w:space="0" w:color="000000"/>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6 Months – 1 Year</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43</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16.23%</w:t>
            </w:r>
          </w:p>
        </w:tc>
      </w:tr>
      <w:tr w:rsidR="00765A3D">
        <w:trPr>
          <w:trHeight w:val="315"/>
        </w:trPr>
        <w:tc>
          <w:tcPr>
            <w:tcW w:w="2265" w:type="dxa"/>
            <w:vMerge/>
            <w:tcBorders>
              <w:top w:val="nil"/>
              <w:left w:val="nil"/>
              <w:bottom w:val="single" w:sz="4" w:space="0" w:color="000000"/>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1 Year – 2 Years</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31</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11.70%</w:t>
            </w:r>
          </w:p>
        </w:tc>
      </w:tr>
      <w:tr w:rsidR="00765A3D">
        <w:trPr>
          <w:trHeight w:val="300"/>
        </w:trPr>
        <w:tc>
          <w:tcPr>
            <w:tcW w:w="2265" w:type="dxa"/>
            <w:vMerge/>
            <w:tcBorders>
              <w:top w:val="nil"/>
              <w:left w:val="nil"/>
              <w:bottom w:val="single" w:sz="4" w:space="0" w:color="000000"/>
              <w:right w:val="nil"/>
            </w:tcBorders>
            <w:shd w:val="clear" w:color="auto" w:fill="auto"/>
            <w:vAlign w:val="center"/>
          </w:tcPr>
          <w:p w:rsidR="00765A3D" w:rsidRDefault="00765A3D">
            <w:pPr>
              <w:widowControl w:val="0"/>
              <w:rPr>
                <w:szCs w:val="24"/>
              </w:rPr>
            </w:pPr>
          </w:p>
        </w:tc>
        <w:tc>
          <w:tcPr>
            <w:tcW w:w="2550" w:type="dxa"/>
            <w:tcBorders>
              <w:top w:val="nil"/>
              <w:left w:val="nil"/>
              <w:bottom w:val="nil"/>
              <w:right w:val="nil"/>
            </w:tcBorders>
            <w:shd w:val="clear" w:color="auto" w:fill="auto"/>
            <w:vAlign w:val="bottom"/>
          </w:tcPr>
          <w:p w:rsidR="00765A3D" w:rsidRDefault="006A5ACA">
            <w:pPr>
              <w:rPr>
                <w:szCs w:val="24"/>
              </w:rPr>
            </w:pPr>
            <w:r>
              <w:rPr>
                <w:szCs w:val="24"/>
              </w:rPr>
              <w:t>2 years – 3 Years</w:t>
            </w:r>
          </w:p>
        </w:tc>
        <w:tc>
          <w:tcPr>
            <w:tcW w:w="1830" w:type="dxa"/>
            <w:tcBorders>
              <w:top w:val="nil"/>
              <w:left w:val="nil"/>
              <w:bottom w:val="nil"/>
              <w:right w:val="nil"/>
            </w:tcBorders>
            <w:shd w:val="clear" w:color="auto" w:fill="auto"/>
            <w:vAlign w:val="bottom"/>
          </w:tcPr>
          <w:p w:rsidR="00765A3D" w:rsidRDefault="006A5ACA">
            <w:pPr>
              <w:jc w:val="right"/>
              <w:rPr>
                <w:szCs w:val="24"/>
              </w:rPr>
            </w:pPr>
            <w:r>
              <w:rPr>
                <w:szCs w:val="24"/>
              </w:rPr>
              <w:t>14</w:t>
            </w:r>
          </w:p>
        </w:tc>
        <w:tc>
          <w:tcPr>
            <w:tcW w:w="1890" w:type="dxa"/>
            <w:tcBorders>
              <w:top w:val="nil"/>
              <w:left w:val="nil"/>
              <w:bottom w:val="nil"/>
              <w:right w:val="nil"/>
            </w:tcBorders>
            <w:shd w:val="clear" w:color="auto" w:fill="auto"/>
            <w:vAlign w:val="bottom"/>
          </w:tcPr>
          <w:p w:rsidR="00765A3D" w:rsidRDefault="006A5ACA">
            <w:pPr>
              <w:jc w:val="right"/>
              <w:rPr>
                <w:szCs w:val="24"/>
              </w:rPr>
            </w:pPr>
            <w:r>
              <w:rPr>
                <w:szCs w:val="24"/>
              </w:rPr>
              <w:t>5.28%</w:t>
            </w:r>
          </w:p>
        </w:tc>
      </w:tr>
      <w:tr w:rsidR="00765A3D">
        <w:trPr>
          <w:trHeight w:val="300"/>
        </w:trPr>
        <w:tc>
          <w:tcPr>
            <w:tcW w:w="2265" w:type="dxa"/>
            <w:vMerge/>
            <w:tcBorders>
              <w:top w:val="nil"/>
              <w:left w:val="nil"/>
              <w:bottom w:val="single" w:sz="4" w:space="0" w:color="000000"/>
              <w:right w:val="nil"/>
            </w:tcBorders>
            <w:shd w:val="clear" w:color="auto" w:fill="auto"/>
            <w:vAlign w:val="center"/>
          </w:tcPr>
          <w:p w:rsidR="00765A3D" w:rsidRDefault="00765A3D">
            <w:pPr>
              <w:widowControl w:val="0"/>
              <w:rPr>
                <w:szCs w:val="24"/>
              </w:rPr>
            </w:pPr>
          </w:p>
        </w:tc>
        <w:tc>
          <w:tcPr>
            <w:tcW w:w="2550" w:type="dxa"/>
            <w:tcBorders>
              <w:top w:val="nil"/>
              <w:left w:val="nil"/>
              <w:bottom w:val="single" w:sz="4" w:space="0" w:color="000000"/>
              <w:right w:val="nil"/>
            </w:tcBorders>
            <w:shd w:val="clear" w:color="auto" w:fill="auto"/>
            <w:vAlign w:val="bottom"/>
          </w:tcPr>
          <w:p w:rsidR="00765A3D" w:rsidRDefault="006A5ACA">
            <w:pPr>
              <w:rPr>
                <w:szCs w:val="24"/>
              </w:rPr>
            </w:pPr>
            <w:r>
              <w:rPr>
                <w:szCs w:val="24"/>
              </w:rPr>
              <w:t>&gt;3 Years</w:t>
            </w:r>
          </w:p>
        </w:tc>
        <w:tc>
          <w:tcPr>
            <w:tcW w:w="1830" w:type="dxa"/>
            <w:tcBorders>
              <w:top w:val="nil"/>
              <w:left w:val="nil"/>
              <w:bottom w:val="single" w:sz="4" w:space="0" w:color="000000"/>
              <w:right w:val="nil"/>
            </w:tcBorders>
            <w:shd w:val="clear" w:color="auto" w:fill="auto"/>
            <w:vAlign w:val="bottom"/>
          </w:tcPr>
          <w:p w:rsidR="00765A3D" w:rsidRDefault="006A5ACA">
            <w:pPr>
              <w:jc w:val="right"/>
              <w:rPr>
                <w:szCs w:val="24"/>
              </w:rPr>
            </w:pPr>
            <w:r>
              <w:rPr>
                <w:szCs w:val="24"/>
              </w:rPr>
              <w:t>25</w:t>
            </w:r>
          </w:p>
        </w:tc>
        <w:tc>
          <w:tcPr>
            <w:tcW w:w="1890" w:type="dxa"/>
            <w:tcBorders>
              <w:top w:val="nil"/>
              <w:left w:val="nil"/>
              <w:bottom w:val="single" w:sz="4" w:space="0" w:color="000000"/>
              <w:right w:val="nil"/>
            </w:tcBorders>
            <w:shd w:val="clear" w:color="auto" w:fill="auto"/>
            <w:vAlign w:val="bottom"/>
          </w:tcPr>
          <w:p w:rsidR="00765A3D" w:rsidRDefault="006A5ACA">
            <w:pPr>
              <w:jc w:val="right"/>
              <w:rPr>
                <w:szCs w:val="24"/>
              </w:rPr>
            </w:pPr>
            <w:r>
              <w:rPr>
                <w:szCs w:val="24"/>
              </w:rPr>
              <w:t>9.43%</w:t>
            </w:r>
          </w:p>
        </w:tc>
      </w:tr>
    </w:tbl>
    <w:p w:rsidR="00765A3D" w:rsidRDefault="00765A3D">
      <w:pPr>
        <w:spacing w:after="120"/>
        <w:rPr>
          <w:sz w:val="22"/>
          <w:szCs w:val="22"/>
        </w:rPr>
      </w:pPr>
    </w:p>
    <w:p w:rsidR="00765A3D" w:rsidRDefault="006A5ACA">
      <w:pPr>
        <w:pStyle w:val="Heading1"/>
        <w:suppressAutoHyphens/>
        <w:spacing w:after="60"/>
        <w:rPr>
          <w:i w:val="0"/>
          <w:iCs/>
          <w:sz w:val="24"/>
          <w:szCs w:val="24"/>
        </w:rPr>
      </w:pPr>
      <w:r>
        <w:rPr>
          <w:i w:val="0"/>
          <w:sz w:val="22"/>
          <w:szCs w:val="22"/>
        </w:rPr>
        <w:t xml:space="preserve">3.2. </w:t>
      </w:r>
      <w:r>
        <w:rPr>
          <w:i w:val="0"/>
          <w:iCs/>
          <w:sz w:val="24"/>
          <w:szCs w:val="24"/>
        </w:rPr>
        <w:t>Evaluation of Outer Model</w:t>
      </w:r>
    </w:p>
    <w:p w:rsidR="00765A3D" w:rsidRDefault="006A5ACA">
      <w:pPr>
        <w:shd w:val="clear" w:color="auto" w:fill="FFFFFF"/>
        <w:jc w:val="both"/>
        <w:rPr>
          <w:b/>
          <w:szCs w:val="24"/>
        </w:rPr>
      </w:pPr>
      <w:r>
        <w:rPr>
          <w:b/>
          <w:szCs w:val="24"/>
        </w:rPr>
        <w:t>Validity and Reliability Test</w:t>
      </w:r>
    </w:p>
    <w:p w:rsidR="00765A3D" w:rsidRDefault="006A5ACA">
      <w:pPr>
        <w:shd w:val="clear" w:color="auto" w:fill="FFFFFF"/>
        <w:ind w:firstLine="720"/>
        <w:jc w:val="both"/>
        <w:rPr>
          <w:szCs w:val="24"/>
        </w:rPr>
      </w:pPr>
      <w:r>
        <w:rPr>
          <w:szCs w:val="24"/>
        </w:rPr>
        <w:lastRenderedPageBreak/>
        <w:t xml:space="preserve">The evaluation of the outer or measurement model is applied to identify the validity of the output and differentiate the Composite Reliability (CR) and </w:t>
      </w:r>
      <w:proofErr w:type="spellStart"/>
      <w:r>
        <w:rPr>
          <w:szCs w:val="24"/>
        </w:rPr>
        <w:t>Cronbach's</w:t>
      </w:r>
      <w:proofErr w:type="spellEnd"/>
      <w:r>
        <w:rPr>
          <w:szCs w:val="24"/>
        </w:rPr>
        <w:t xml:space="preserve"> Alpha (CA) to determine the reliability </w:t>
      </w:r>
      <w:r w:rsidR="00DB3A11">
        <w:rPr>
          <w:szCs w:val="24"/>
        </w:rPr>
        <w:fldChar w:fldCharType="begin" w:fldLock="1"/>
      </w:r>
      <w:r w:rsidR="00DB3A11">
        <w:rPr>
          <w:szCs w:val="24"/>
        </w:rPr>
        <w:instrText>ADDIN CSL_CITATION {"citationItems":[{"id":"ITEM-1","itemData":{"ISBN":"979.704.300.2","author":[{"dropping-particle":"","family":"Ghozali","given":"Imam","non-dropping-particle":"","parse-names":false,"suffix":""},{"dropping-particle":"","family":"Latan","given":"Hengky","non-dropping-particle":"","parse-names":false,"suffix":""}],"id":"ITEM-1","issued":{"date-parts":[["2015"]]},"number-of-pages":"290","publisher":"Universitas Diponegoro Semarang","publisher-place":"Semarang","title":"Partial Least Square : Konsep, Teknik dan Aplikasi Menggunakan Program SmartPls 3.0 untuk Penelitian Empiris","type":"book"},"uris":["http://www.mendeley.com/documents/?uuid=2cdb6e61-981c-49dc-b5cb-a915a0f98049"]}],"mendeley":{"formattedCitation":"(Ghozali &amp; Latan, 2015)","plainTextFormattedCitation":"(Ghozali &amp; Latan, 2015)","previouslyFormattedCitation":"(Ghozali &amp; Latan, 2015)"},"properties":{"noteIndex":0},"schema":"https://github.com/citation-style-language/schema/raw/master/csl-citation.json"}</w:instrText>
      </w:r>
      <w:r w:rsidR="00DB3A11">
        <w:rPr>
          <w:szCs w:val="24"/>
        </w:rPr>
        <w:fldChar w:fldCharType="separate"/>
      </w:r>
      <w:r w:rsidR="00DB3A11" w:rsidRPr="00DB3A11">
        <w:rPr>
          <w:noProof/>
          <w:szCs w:val="24"/>
        </w:rPr>
        <w:t>(Ghozali &amp; Latan, 2015)</w:t>
      </w:r>
      <w:r w:rsidR="00DB3A11">
        <w:rPr>
          <w:szCs w:val="24"/>
        </w:rPr>
        <w:fldChar w:fldCharType="end"/>
      </w:r>
      <w:r w:rsidR="00DB3A11">
        <w:rPr>
          <w:szCs w:val="24"/>
        </w:rPr>
        <w:t xml:space="preserve">. </w:t>
      </w:r>
      <w:r>
        <w:rPr>
          <w:szCs w:val="24"/>
        </w:rPr>
        <w:t>This evaluation is also implemented to determine the convergent validity value in the Loading Factor (LF) and discriminant validity in the cross-loading factor. The results of the validity and reliability test are presented in the following table.</w:t>
      </w:r>
    </w:p>
    <w:p w:rsidR="00765A3D" w:rsidRDefault="00765A3D">
      <w:pPr>
        <w:shd w:val="clear" w:color="auto" w:fill="FFFFFF"/>
        <w:jc w:val="both"/>
        <w:rPr>
          <w:szCs w:val="24"/>
        </w:rPr>
      </w:pPr>
    </w:p>
    <w:p w:rsidR="00765A3D" w:rsidRDefault="006A5ACA">
      <w:pPr>
        <w:shd w:val="clear" w:color="auto" w:fill="FFFFFF"/>
        <w:jc w:val="center"/>
        <w:rPr>
          <w:b/>
          <w:szCs w:val="24"/>
        </w:rPr>
      </w:pPr>
      <w:proofErr w:type="gramStart"/>
      <w:r>
        <w:rPr>
          <w:b/>
          <w:szCs w:val="24"/>
        </w:rPr>
        <w:t>Table 2.</w:t>
      </w:r>
      <w:proofErr w:type="gramEnd"/>
      <w:r>
        <w:rPr>
          <w:b/>
          <w:szCs w:val="24"/>
        </w:rPr>
        <w:t xml:space="preserve"> Validity and Reliability</w:t>
      </w:r>
    </w:p>
    <w:tbl>
      <w:tblPr>
        <w:tblStyle w:val="Style20"/>
        <w:tblW w:w="9048"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1"/>
        <w:gridCol w:w="2827"/>
        <w:gridCol w:w="1440"/>
        <w:gridCol w:w="900"/>
        <w:gridCol w:w="810"/>
        <w:gridCol w:w="810"/>
        <w:gridCol w:w="810"/>
      </w:tblGrid>
      <w:tr w:rsidR="00765A3D">
        <w:trPr>
          <w:trHeight w:val="414"/>
        </w:trPr>
        <w:tc>
          <w:tcPr>
            <w:tcW w:w="1451" w:type="dxa"/>
            <w:vMerge w:val="restart"/>
          </w:tcPr>
          <w:p w:rsidR="00765A3D" w:rsidRDefault="006A5ACA">
            <w:pPr>
              <w:shd w:val="clear" w:color="auto" w:fill="FFFFFF"/>
              <w:jc w:val="both"/>
              <w:rPr>
                <w:b/>
                <w:szCs w:val="24"/>
              </w:rPr>
            </w:pPr>
            <w:r>
              <w:rPr>
                <w:b/>
                <w:szCs w:val="24"/>
              </w:rPr>
              <w:t>Variable</w:t>
            </w:r>
          </w:p>
        </w:tc>
        <w:tc>
          <w:tcPr>
            <w:tcW w:w="2827" w:type="dxa"/>
            <w:vMerge w:val="restart"/>
          </w:tcPr>
          <w:p w:rsidR="00765A3D" w:rsidRDefault="006A5ACA">
            <w:pPr>
              <w:shd w:val="clear" w:color="auto" w:fill="FFFFFF"/>
              <w:jc w:val="both"/>
              <w:rPr>
                <w:b/>
                <w:szCs w:val="24"/>
              </w:rPr>
            </w:pPr>
            <w:r>
              <w:rPr>
                <w:b/>
                <w:szCs w:val="24"/>
              </w:rPr>
              <w:t>Item</w:t>
            </w:r>
          </w:p>
        </w:tc>
        <w:tc>
          <w:tcPr>
            <w:tcW w:w="1440" w:type="dxa"/>
            <w:vMerge w:val="restart"/>
          </w:tcPr>
          <w:p w:rsidR="00765A3D" w:rsidRDefault="006A5ACA">
            <w:pPr>
              <w:shd w:val="clear" w:color="auto" w:fill="FFFFFF"/>
              <w:jc w:val="both"/>
              <w:rPr>
                <w:b/>
                <w:szCs w:val="24"/>
              </w:rPr>
            </w:pPr>
            <w:r>
              <w:rPr>
                <w:b/>
                <w:szCs w:val="24"/>
              </w:rPr>
              <w:t>Reference</w:t>
            </w:r>
          </w:p>
        </w:tc>
        <w:tc>
          <w:tcPr>
            <w:tcW w:w="900" w:type="dxa"/>
            <w:vMerge w:val="restart"/>
          </w:tcPr>
          <w:p w:rsidR="00765A3D" w:rsidRDefault="006A5ACA">
            <w:pPr>
              <w:shd w:val="clear" w:color="auto" w:fill="FFFFFF"/>
              <w:jc w:val="both"/>
              <w:rPr>
                <w:b/>
                <w:szCs w:val="24"/>
              </w:rPr>
            </w:pPr>
            <w:r>
              <w:rPr>
                <w:b/>
                <w:szCs w:val="24"/>
              </w:rPr>
              <w:t>LF</w:t>
            </w:r>
          </w:p>
        </w:tc>
        <w:tc>
          <w:tcPr>
            <w:tcW w:w="810" w:type="dxa"/>
            <w:vMerge w:val="restart"/>
          </w:tcPr>
          <w:p w:rsidR="00765A3D" w:rsidRDefault="006A5ACA">
            <w:pPr>
              <w:shd w:val="clear" w:color="auto" w:fill="FFFFFF"/>
              <w:jc w:val="both"/>
              <w:rPr>
                <w:b/>
                <w:szCs w:val="24"/>
              </w:rPr>
            </w:pPr>
            <w:r>
              <w:rPr>
                <w:b/>
                <w:szCs w:val="24"/>
              </w:rPr>
              <w:t>CA</w:t>
            </w:r>
          </w:p>
        </w:tc>
        <w:tc>
          <w:tcPr>
            <w:tcW w:w="810" w:type="dxa"/>
            <w:vMerge w:val="restart"/>
          </w:tcPr>
          <w:p w:rsidR="00765A3D" w:rsidRDefault="006A5ACA">
            <w:pPr>
              <w:shd w:val="clear" w:color="auto" w:fill="FFFFFF"/>
              <w:jc w:val="both"/>
              <w:rPr>
                <w:b/>
                <w:szCs w:val="24"/>
              </w:rPr>
            </w:pPr>
            <w:r>
              <w:rPr>
                <w:b/>
                <w:szCs w:val="24"/>
              </w:rPr>
              <w:t>CR</w:t>
            </w:r>
          </w:p>
        </w:tc>
        <w:tc>
          <w:tcPr>
            <w:tcW w:w="810" w:type="dxa"/>
            <w:vMerge w:val="restart"/>
          </w:tcPr>
          <w:p w:rsidR="00765A3D" w:rsidRDefault="006A5ACA">
            <w:pPr>
              <w:shd w:val="clear" w:color="auto" w:fill="FFFFFF"/>
              <w:jc w:val="both"/>
              <w:rPr>
                <w:b/>
                <w:szCs w:val="24"/>
              </w:rPr>
            </w:pPr>
            <w:r>
              <w:rPr>
                <w:b/>
                <w:szCs w:val="24"/>
              </w:rPr>
              <w:t>AVE</w:t>
            </w:r>
          </w:p>
        </w:tc>
      </w:tr>
      <w:tr w:rsidR="00765A3D">
        <w:trPr>
          <w:trHeight w:val="414"/>
        </w:trPr>
        <w:tc>
          <w:tcPr>
            <w:tcW w:w="1451" w:type="dxa"/>
            <w:vMerge/>
          </w:tcPr>
          <w:p w:rsidR="00765A3D" w:rsidRDefault="00765A3D">
            <w:pPr>
              <w:widowControl w:val="0"/>
              <w:rPr>
                <w:b/>
                <w:szCs w:val="24"/>
              </w:rPr>
            </w:pPr>
          </w:p>
        </w:tc>
        <w:tc>
          <w:tcPr>
            <w:tcW w:w="2827" w:type="dxa"/>
            <w:vMerge/>
          </w:tcPr>
          <w:p w:rsidR="00765A3D" w:rsidRDefault="00765A3D">
            <w:pPr>
              <w:widowControl w:val="0"/>
              <w:rPr>
                <w:b/>
                <w:szCs w:val="24"/>
              </w:rPr>
            </w:pPr>
          </w:p>
        </w:tc>
        <w:tc>
          <w:tcPr>
            <w:tcW w:w="1440" w:type="dxa"/>
            <w:vMerge/>
          </w:tcPr>
          <w:p w:rsidR="00765A3D" w:rsidRDefault="00765A3D">
            <w:pPr>
              <w:widowControl w:val="0"/>
              <w:rPr>
                <w:b/>
                <w:szCs w:val="24"/>
              </w:rPr>
            </w:pPr>
          </w:p>
        </w:tc>
        <w:tc>
          <w:tcPr>
            <w:tcW w:w="900" w:type="dxa"/>
            <w:vMerge/>
          </w:tcPr>
          <w:p w:rsidR="00765A3D" w:rsidRDefault="00765A3D">
            <w:pPr>
              <w:widowControl w:val="0"/>
              <w:rPr>
                <w:b/>
                <w:szCs w:val="24"/>
              </w:rPr>
            </w:pPr>
          </w:p>
        </w:tc>
        <w:tc>
          <w:tcPr>
            <w:tcW w:w="810" w:type="dxa"/>
            <w:vMerge/>
          </w:tcPr>
          <w:p w:rsidR="00765A3D" w:rsidRDefault="00765A3D">
            <w:pPr>
              <w:widowControl w:val="0"/>
              <w:rPr>
                <w:b/>
                <w:szCs w:val="24"/>
              </w:rPr>
            </w:pPr>
          </w:p>
        </w:tc>
        <w:tc>
          <w:tcPr>
            <w:tcW w:w="810" w:type="dxa"/>
            <w:vMerge/>
          </w:tcPr>
          <w:p w:rsidR="00765A3D" w:rsidRDefault="00765A3D">
            <w:pPr>
              <w:widowControl w:val="0"/>
              <w:rPr>
                <w:b/>
                <w:szCs w:val="24"/>
              </w:rPr>
            </w:pPr>
          </w:p>
        </w:tc>
        <w:tc>
          <w:tcPr>
            <w:tcW w:w="810" w:type="dxa"/>
            <w:vMerge/>
          </w:tcPr>
          <w:p w:rsidR="00765A3D" w:rsidRDefault="00765A3D">
            <w:pPr>
              <w:widowControl w:val="0"/>
              <w:rPr>
                <w:b/>
                <w:szCs w:val="24"/>
              </w:rPr>
            </w:pPr>
          </w:p>
        </w:tc>
      </w:tr>
      <w:tr w:rsidR="00765A3D">
        <w:trPr>
          <w:trHeight w:val="414"/>
        </w:trPr>
        <w:tc>
          <w:tcPr>
            <w:tcW w:w="1451" w:type="dxa"/>
            <w:vMerge/>
          </w:tcPr>
          <w:p w:rsidR="00765A3D" w:rsidRDefault="00765A3D">
            <w:pPr>
              <w:widowControl w:val="0"/>
              <w:rPr>
                <w:b/>
                <w:szCs w:val="24"/>
              </w:rPr>
            </w:pPr>
          </w:p>
        </w:tc>
        <w:tc>
          <w:tcPr>
            <w:tcW w:w="2827" w:type="dxa"/>
            <w:vMerge/>
          </w:tcPr>
          <w:p w:rsidR="00765A3D" w:rsidRDefault="00765A3D">
            <w:pPr>
              <w:widowControl w:val="0"/>
              <w:rPr>
                <w:b/>
                <w:szCs w:val="24"/>
              </w:rPr>
            </w:pPr>
          </w:p>
        </w:tc>
        <w:tc>
          <w:tcPr>
            <w:tcW w:w="1440" w:type="dxa"/>
            <w:vMerge/>
          </w:tcPr>
          <w:p w:rsidR="00765A3D" w:rsidRDefault="00765A3D">
            <w:pPr>
              <w:widowControl w:val="0"/>
              <w:rPr>
                <w:b/>
                <w:szCs w:val="24"/>
              </w:rPr>
            </w:pPr>
          </w:p>
        </w:tc>
        <w:tc>
          <w:tcPr>
            <w:tcW w:w="900" w:type="dxa"/>
            <w:vMerge/>
          </w:tcPr>
          <w:p w:rsidR="00765A3D" w:rsidRDefault="00765A3D">
            <w:pPr>
              <w:widowControl w:val="0"/>
              <w:rPr>
                <w:b/>
                <w:szCs w:val="24"/>
              </w:rPr>
            </w:pPr>
          </w:p>
        </w:tc>
        <w:tc>
          <w:tcPr>
            <w:tcW w:w="810" w:type="dxa"/>
            <w:vMerge/>
          </w:tcPr>
          <w:p w:rsidR="00765A3D" w:rsidRDefault="00765A3D">
            <w:pPr>
              <w:widowControl w:val="0"/>
              <w:rPr>
                <w:b/>
                <w:szCs w:val="24"/>
              </w:rPr>
            </w:pPr>
          </w:p>
        </w:tc>
        <w:tc>
          <w:tcPr>
            <w:tcW w:w="810" w:type="dxa"/>
            <w:vMerge/>
          </w:tcPr>
          <w:p w:rsidR="00765A3D" w:rsidRDefault="00765A3D">
            <w:pPr>
              <w:widowControl w:val="0"/>
              <w:rPr>
                <w:b/>
                <w:szCs w:val="24"/>
              </w:rPr>
            </w:pPr>
          </w:p>
        </w:tc>
        <w:tc>
          <w:tcPr>
            <w:tcW w:w="810" w:type="dxa"/>
            <w:vMerge/>
          </w:tcPr>
          <w:p w:rsidR="00765A3D" w:rsidRDefault="00765A3D">
            <w:pPr>
              <w:widowControl w:val="0"/>
              <w:rPr>
                <w:b/>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Perceived Usefulness</w:t>
            </w:r>
          </w:p>
        </w:tc>
        <w:tc>
          <w:tcPr>
            <w:tcW w:w="2827" w:type="dxa"/>
            <w:vMerge w:val="restart"/>
          </w:tcPr>
          <w:p w:rsidR="00765A3D" w:rsidRDefault="00765A3D">
            <w:pPr>
              <w:shd w:val="clear" w:color="auto" w:fill="FFFFFF"/>
              <w:jc w:val="both"/>
              <w:rPr>
                <w:szCs w:val="24"/>
              </w:rPr>
            </w:pPr>
          </w:p>
        </w:tc>
        <w:tc>
          <w:tcPr>
            <w:tcW w:w="1440" w:type="dxa"/>
            <w:vMerge w:val="restart"/>
          </w:tcPr>
          <w:p w:rsidR="00765A3D" w:rsidRDefault="00765A3D">
            <w:pPr>
              <w:shd w:val="clear" w:color="auto" w:fill="FFFFFF"/>
              <w:jc w:val="both"/>
              <w:rPr>
                <w:szCs w:val="24"/>
              </w:rPr>
            </w:pPr>
          </w:p>
        </w:tc>
        <w:tc>
          <w:tcPr>
            <w:tcW w:w="900" w:type="dxa"/>
            <w:vMerge w:val="restart"/>
          </w:tcPr>
          <w:p w:rsidR="00765A3D" w:rsidRDefault="00765A3D">
            <w:pPr>
              <w:shd w:val="clear" w:color="auto" w:fill="FFFFFF"/>
              <w:jc w:val="both"/>
              <w:rPr>
                <w:szCs w:val="24"/>
              </w:rPr>
            </w:pPr>
          </w:p>
        </w:tc>
        <w:tc>
          <w:tcPr>
            <w:tcW w:w="810" w:type="dxa"/>
            <w:vMerge w:val="restart"/>
          </w:tcPr>
          <w:p w:rsidR="00765A3D" w:rsidRDefault="006A5ACA">
            <w:pPr>
              <w:shd w:val="clear" w:color="auto" w:fill="FFFFFF"/>
              <w:jc w:val="both"/>
              <w:rPr>
                <w:szCs w:val="24"/>
              </w:rPr>
            </w:pPr>
            <w:r>
              <w:rPr>
                <w:szCs w:val="24"/>
              </w:rPr>
              <w:t>0.886</w:t>
            </w:r>
          </w:p>
        </w:tc>
        <w:tc>
          <w:tcPr>
            <w:tcW w:w="810" w:type="dxa"/>
            <w:vMerge w:val="restart"/>
          </w:tcPr>
          <w:p w:rsidR="00765A3D" w:rsidRDefault="006A5ACA">
            <w:pPr>
              <w:shd w:val="clear" w:color="auto" w:fill="FFFFFF"/>
              <w:jc w:val="both"/>
              <w:rPr>
                <w:szCs w:val="24"/>
              </w:rPr>
            </w:pPr>
            <w:r>
              <w:rPr>
                <w:szCs w:val="24"/>
              </w:rPr>
              <w:t>0.946</w:t>
            </w:r>
          </w:p>
        </w:tc>
        <w:tc>
          <w:tcPr>
            <w:tcW w:w="810" w:type="dxa"/>
            <w:vMerge w:val="restart"/>
          </w:tcPr>
          <w:p w:rsidR="00765A3D" w:rsidRDefault="006A5ACA">
            <w:pPr>
              <w:shd w:val="clear" w:color="auto" w:fill="FFFFFF"/>
              <w:jc w:val="both"/>
              <w:rPr>
                <w:szCs w:val="24"/>
              </w:rPr>
            </w:pPr>
            <w:r>
              <w:rPr>
                <w:szCs w:val="24"/>
              </w:rPr>
              <w:t>0.816</w:t>
            </w: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PU1</w:t>
            </w:r>
          </w:p>
        </w:tc>
        <w:tc>
          <w:tcPr>
            <w:tcW w:w="2827" w:type="dxa"/>
            <w:vMerge w:val="restart"/>
          </w:tcPr>
          <w:p w:rsidR="00765A3D" w:rsidRDefault="006A5ACA">
            <w:pPr>
              <w:shd w:val="clear" w:color="auto" w:fill="FFFFFF"/>
              <w:jc w:val="both"/>
              <w:rPr>
                <w:szCs w:val="24"/>
              </w:rPr>
            </w:pPr>
            <w:r>
              <w:rPr>
                <w:szCs w:val="24"/>
              </w:rPr>
              <w:t>M-banking makes transactions more efficient.</w:t>
            </w:r>
          </w:p>
          <w:p w:rsidR="00765A3D" w:rsidRDefault="00765A3D">
            <w:pPr>
              <w:shd w:val="clear" w:color="auto" w:fill="FFFFFF"/>
              <w:jc w:val="both"/>
              <w:rPr>
                <w:szCs w:val="24"/>
              </w:rPr>
            </w:pPr>
          </w:p>
        </w:tc>
        <w:tc>
          <w:tcPr>
            <w:tcW w:w="1440" w:type="dxa"/>
            <w:vMerge w:val="restart"/>
          </w:tcPr>
          <w:p w:rsidR="00765A3D" w:rsidRDefault="006A5ACA">
            <w:pPr>
              <w:shd w:val="clear" w:color="auto" w:fill="FFFFFF"/>
              <w:jc w:val="both"/>
              <w:rPr>
                <w:szCs w:val="24"/>
              </w:rPr>
            </w:pPr>
            <w:r>
              <w:rPr>
                <w:szCs w:val="24"/>
              </w:rPr>
              <w:t xml:space="preserve">Thakur &amp; </w:t>
            </w:r>
            <w:proofErr w:type="spellStart"/>
            <w:r>
              <w:rPr>
                <w:szCs w:val="24"/>
              </w:rPr>
              <w:t>Srivastava</w:t>
            </w:r>
            <w:proofErr w:type="spellEnd"/>
            <w:r>
              <w:rPr>
                <w:szCs w:val="24"/>
              </w:rPr>
              <w:t>, (2014)</w:t>
            </w:r>
          </w:p>
        </w:tc>
        <w:tc>
          <w:tcPr>
            <w:tcW w:w="900" w:type="dxa"/>
            <w:vMerge w:val="restart"/>
          </w:tcPr>
          <w:p w:rsidR="00765A3D" w:rsidRDefault="006A5ACA">
            <w:pPr>
              <w:shd w:val="clear" w:color="auto" w:fill="FFFFFF"/>
              <w:jc w:val="both"/>
              <w:rPr>
                <w:szCs w:val="24"/>
              </w:rPr>
            </w:pPr>
            <w:r>
              <w:rPr>
                <w:szCs w:val="24"/>
              </w:rPr>
              <w:t>0.926</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PU2</w:t>
            </w:r>
          </w:p>
        </w:tc>
        <w:tc>
          <w:tcPr>
            <w:tcW w:w="2827" w:type="dxa"/>
            <w:vMerge w:val="restart"/>
          </w:tcPr>
          <w:p w:rsidR="00765A3D" w:rsidRDefault="006A5ACA">
            <w:pPr>
              <w:shd w:val="clear" w:color="auto" w:fill="FFFFFF"/>
              <w:jc w:val="both"/>
              <w:rPr>
                <w:szCs w:val="24"/>
              </w:rPr>
            </w:pPr>
            <w:r>
              <w:rPr>
                <w:szCs w:val="24"/>
              </w:rPr>
              <w:t>M-banking is useful for managing my finances.</w:t>
            </w:r>
          </w:p>
          <w:p w:rsidR="00765A3D" w:rsidRDefault="00765A3D">
            <w:pPr>
              <w:shd w:val="clear" w:color="auto" w:fill="FFFFFF"/>
              <w:jc w:val="both"/>
              <w:rPr>
                <w:szCs w:val="24"/>
              </w:rPr>
            </w:pPr>
          </w:p>
        </w:tc>
        <w:tc>
          <w:tcPr>
            <w:tcW w:w="1440" w:type="dxa"/>
            <w:vMerge/>
          </w:tcPr>
          <w:p w:rsidR="00765A3D" w:rsidRDefault="00765A3D">
            <w:pPr>
              <w:widowControl w:val="0"/>
              <w:rPr>
                <w:szCs w:val="24"/>
              </w:rPr>
            </w:pPr>
          </w:p>
        </w:tc>
        <w:tc>
          <w:tcPr>
            <w:tcW w:w="900" w:type="dxa"/>
            <w:vMerge w:val="restart"/>
          </w:tcPr>
          <w:p w:rsidR="00765A3D" w:rsidRDefault="006A5ACA">
            <w:pPr>
              <w:shd w:val="clear" w:color="auto" w:fill="FFFFFF"/>
              <w:jc w:val="both"/>
              <w:rPr>
                <w:szCs w:val="24"/>
              </w:rPr>
            </w:pPr>
            <w:r>
              <w:rPr>
                <w:szCs w:val="24"/>
              </w:rPr>
              <w:t>0.860</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PU3</w:t>
            </w:r>
          </w:p>
        </w:tc>
        <w:tc>
          <w:tcPr>
            <w:tcW w:w="2827" w:type="dxa"/>
            <w:vMerge w:val="restart"/>
          </w:tcPr>
          <w:p w:rsidR="00765A3D" w:rsidRDefault="006A5ACA">
            <w:pPr>
              <w:shd w:val="clear" w:color="auto" w:fill="FFFFFF"/>
              <w:jc w:val="both"/>
              <w:rPr>
                <w:szCs w:val="24"/>
              </w:rPr>
            </w:pPr>
            <w:r>
              <w:rPr>
                <w:szCs w:val="24"/>
              </w:rPr>
              <w:t>M-banking makes transactions faster.</w:t>
            </w:r>
          </w:p>
        </w:tc>
        <w:tc>
          <w:tcPr>
            <w:tcW w:w="1440" w:type="dxa"/>
            <w:vMerge/>
          </w:tcPr>
          <w:p w:rsidR="00765A3D" w:rsidRDefault="00765A3D">
            <w:pPr>
              <w:widowControl w:val="0"/>
              <w:rPr>
                <w:szCs w:val="24"/>
              </w:rPr>
            </w:pPr>
          </w:p>
        </w:tc>
        <w:tc>
          <w:tcPr>
            <w:tcW w:w="900" w:type="dxa"/>
            <w:vMerge w:val="restart"/>
          </w:tcPr>
          <w:p w:rsidR="00765A3D" w:rsidRDefault="006A5ACA">
            <w:pPr>
              <w:shd w:val="clear" w:color="auto" w:fill="FFFFFF"/>
              <w:jc w:val="both"/>
              <w:rPr>
                <w:szCs w:val="24"/>
              </w:rPr>
            </w:pPr>
            <w:r>
              <w:rPr>
                <w:szCs w:val="24"/>
              </w:rPr>
              <w:t>0.922</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Ease of Use</w:t>
            </w:r>
          </w:p>
        </w:tc>
        <w:tc>
          <w:tcPr>
            <w:tcW w:w="2827" w:type="dxa"/>
            <w:vMerge w:val="restart"/>
          </w:tcPr>
          <w:p w:rsidR="00765A3D" w:rsidRDefault="00765A3D">
            <w:pPr>
              <w:shd w:val="clear" w:color="auto" w:fill="FFFFFF"/>
              <w:jc w:val="both"/>
              <w:rPr>
                <w:szCs w:val="24"/>
              </w:rPr>
            </w:pPr>
          </w:p>
        </w:tc>
        <w:tc>
          <w:tcPr>
            <w:tcW w:w="1440" w:type="dxa"/>
            <w:vMerge w:val="restart"/>
          </w:tcPr>
          <w:p w:rsidR="00765A3D" w:rsidRDefault="00765A3D">
            <w:pPr>
              <w:shd w:val="clear" w:color="auto" w:fill="FFFFFF"/>
              <w:jc w:val="both"/>
              <w:rPr>
                <w:szCs w:val="24"/>
              </w:rPr>
            </w:pPr>
          </w:p>
        </w:tc>
        <w:tc>
          <w:tcPr>
            <w:tcW w:w="900" w:type="dxa"/>
            <w:vMerge w:val="restart"/>
          </w:tcPr>
          <w:p w:rsidR="00765A3D" w:rsidRDefault="00765A3D">
            <w:pPr>
              <w:shd w:val="clear" w:color="auto" w:fill="FFFFFF"/>
              <w:jc w:val="both"/>
              <w:rPr>
                <w:szCs w:val="24"/>
              </w:rPr>
            </w:pPr>
          </w:p>
        </w:tc>
        <w:tc>
          <w:tcPr>
            <w:tcW w:w="810" w:type="dxa"/>
            <w:vMerge w:val="restart"/>
          </w:tcPr>
          <w:p w:rsidR="00765A3D" w:rsidRDefault="006A5ACA">
            <w:pPr>
              <w:shd w:val="clear" w:color="auto" w:fill="FFFFFF"/>
              <w:jc w:val="both"/>
              <w:rPr>
                <w:szCs w:val="24"/>
              </w:rPr>
            </w:pPr>
            <w:r>
              <w:rPr>
                <w:szCs w:val="24"/>
              </w:rPr>
              <w:t>0.909</w:t>
            </w:r>
          </w:p>
        </w:tc>
        <w:tc>
          <w:tcPr>
            <w:tcW w:w="810" w:type="dxa"/>
            <w:vMerge w:val="restart"/>
          </w:tcPr>
          <w:p w:rsidR="00765A3D" w:rsidRDefault="006A5ACA">
            <w:pPr>
              <w:shd w:val="clear" w:color="auto" w:fill="FFFFFF"/>
              <w:jc w:val="both"/>
              <w:rPr>
                <w:szCs w:val="24"/>
              </w:rPr>
            </w:pPr>
            <w:r>
              <w:rPr>
                <w:szCs w:val="24"/>
              </w:rPr>
              <w:t>0.956</w:t>
            </w:r>
          </w:p>
        </w:tc>
        <w:tc>
          <w:tcPr>
            <w:tcW w:w="810" w:type="dxa"/>
            <w:vMerge w:val="restart"/>
          </w:tcPr>
          <w:p w:rsidR="00765A3D" w:rsidRDefault="006A5ACA">
            <w:pPr>
              <w:shd w:val="clear" w:color="auto" w:fill="FFFFFF"/>
              <w:jc w:val="both"/>
              <w:rPr>
                <w:szCs w:val="24"/>
              </w:rPr>
            </w:pPr>
            <w:r>
              <w:rPr>
                <w:szCs w:val="24"/>
              </w:rPr>
              <w:t>0.916</w:t>
            </w: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PE1</w:t>
            </w:r>
          </w:p>
        </w:tc>
        <w:tc>
          <w:tcPr>
            <w:tcW w:w="2827" w:type="dxa"/>
            <w:vMerge w:val="restart"/>
          </w:tcPr>
          <w:p w:rsidR="00765A3D" w:rsidRDefault="006A5ACA">
            <w:pPr>
              <w:shd w:val="clear" w:color="auto" w:fill="FFFFFF"/>
              <w:jc w:val="both"/>
              <w:rPr>
                <w:szCs w:val="24"/>
              </w:rPr>
            </w:pPr>
            <w:r>
              <w:rPr>
                <w:szCs w:val="24"/>
              </w:rPr>
              <w:t>I find learning to use M-banking easy.</w:t>
            </w:r>
          </w:p>
          <w:p w:rsidR="00765A3D" w:rsidRDefault="00765A3D">
            <w:pPr>
              <w:shd w:val="clear" w:color="auto" w:fill="FFFFFF"/>
              <w:jc w:val="both"/>
              <w:rPr>
                <w:szCs w:val="24"/>
              </w:rPr>
            </w:pPr>
          </w:p>
        </w:tc>
        <w:tc>
          <w:tcPr>
            <w:tcW w:w="1440" w:type="dxa"/>
            <w:vMerge w:val="restart"/>
          </w:tcPr>
          <w:p w:rsidR="00765A3D" w:rsidRDefault="006A5ACA">
            <w:pPr>
              <w:shd w:val="clear" w:color="auto" w:fill="FFFFFF"/>
              <w:jc w:val="both"/>
              <w:rPr>
                <w:szCs w:val="24"/>
              </w:rPr>
            </w:pPr>
            <w:r>
              <w:rPr>
                <w:szCs w:val="24"/>
              </w:rPr>
              <w:t xml:space="preserve">Singh &amp; </w:t>
            </w:r>
            <w:proofErr w:type="spellStart"/>
            <w:r>
              <w:rPr>
                <w:szCs w:val="24"/>
              </w:rPr>
              <w:t>Srivarasta</w:t>
            </w:r>
            <w:proofErr w:type="spellEnd"/>
            <w:r>
              <w:rPr>
                <w:szCs w:val="24"/>
              </w:rPr>
              <w:t xml:space="preserve"> (2016) </w:t>
            </w:r>
            <w:proofErr w:type="spellStart"/>
            <w:r>
              <w:rPr>
                <w:szCs w:val="24"/>
              </w:rPr>
              <w:t>Zarnadze</w:t>
            </w:r>
            <w:proofErr w:type="spellEnd"/>
            <w:r>
              <w:rPr>
                <w:szCs w:val="24"/>
              </w:rPr>
              <w:t xml:space="preserve"> (2020)</w:t>
            </w:r>
          </w:p>
        </w:tc>
        <w:tc>
          <w:tcPr>
            <w:tcW w:w="900" w:type="dxa"/>
            <w:vMerge w:val="restart"/>
          </w:tcPr>
          <w:p w:rsidR="00765A3D" w:rsidRDefault="006A5ACA">
            <w:pPr>
              <w:shd w:val="clear" w:color="auto" w:fill="FFFFFF"/>
              <w:jc w:val="both"/>
              <w:rPr>
                <w:szCs w:val="24"/>
              </w:rPr>
            </w:pPr>
            <w:r>
              <w:rPr>
                <w:szCs w:val="24"/>
              </w:rPr>
              <w:t>0.957</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PE2</w:t>
            </w:r>
          </w:p>
        </w:tc>
        <w:tc>
          <w:tcPr>
            <w:tcW w:w="2827" w:type="dxa"/>
            <w:vMerge w:val="restart"/>
          </w:tcPr>
          <w:p w:rsidR="00765A3D" w:rsidRDefault="006A5ACA">
            <w:pPr>
              <w:shd w:val="clear" w:color="auto" w:fill="FFFFFF"/>
              <w:jc w:val="both"/>
              <w:rPr>
                <w:szCs w:val="24"/>
              </w:rPr>
            </w:pPr>
            <w:r>
              <w:rPr>
                <w:szCs w:val="24"/>
              </w:rPr>
              <w:t>It is easy for me to interact with M-banking.</w:t>
            </w:r>
          </w:p>
        </w:tc>
        <w:tc>
          <w:tcPr>
            <w:tcW w:w="1440" w:type="dxa"/>
            <w:vMerge/>
          </w:tcPr>
          <w:p w:rsidR="00765A3D" w:rsidRDefault="00765A3D">
            <w:pPr>
              <w:widowControl w:val="0"/>
              <w:rPr>
                <w:szCs w:val="24"/>
              </w:rPr>
            </w:pPr>
          </w:p>
        </w:tc>
        <w:tc>
          <w:tcPr>
            <w:tcW w:w="900" w:type="dxa"/>
            <w:vMerge w:val="restart"/>
          </w:tcPr>
          <w:p w:rsidR="00765A3D" w:rsidRDefault="006A5ACA">
            <w:pPr>
              <w:shd w:val="clear" w:color="auto" w:fill="FFFFFF"/>
              <w:jc w:val="both"/>
              <w:rPr>
                <w:szCs w:val="24"/>
              </w:rPr>
            </w:pPr>
            <w:r>
              <w:rPr>
                <w:szCs w:val="24"/>
              </w:rPr>
              <w:t>0.958</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Trust</w:t>
            </w:r>
          </w:p>
        </w:tc>
        <w:tc>
          <w:tcPr>
            <w:tcW w:w="2827" w:type="dxa"/>
            <w:vMerge w:val="restart"/>
          </w:tcPr>
          <w:p w:rsidR="00765A3D" w:rsidRDefault="00765A3D">
            <w:pPr>
              <w:shd w:val="clear" w:color="auto" w:fill="FFFFFF"/>
              <w:jc w:val="both"/>
              <w:rPr>
                <w:szCs w:val="24"/>
              </w:rPr>
            </w:pPr>
          </w:p>
        </w:tc>
        <w:tc>
          <w:tcPr>
            <w:tcW w:w="1440" w:type="dxa"/>
            <w:vMerge w:val="restart"/>
          </w:tcPr>
          <w:p w:rsidR="00765A3D" w:rsidRDefault="00765A3D">
            <w:pPr>
              <w:shd w:val="clear" w:color="auto" w:fill="FFFFFF"/>
              <w:jc w:val="both"/>
              <w:rPr>
                <w:szCs w:val="24"/>
              </w:rPr>
            </w:pPr>
          </w:p>
        </w:tc>
        <w:tc>
          <w:tcPr>
            <w:tcW w:w="900" w:type="dxa"/>
            <w:vMerge w:val="restart"/>
          </w:tcPr>
          <w:p w:rsidR="00765A3D" w:rsidRDefault="00765A3D">
            <w:pPr>
              <w:shd w:val="clear" w:color="auto" w:fill="FFFFFF"/>
              <w:jc w:val="both"/>
              <w:rPr>
                <w:szCs w:val="24"/>
              </w:rPr>
            </w:pPr>
          </w:p>
        </w:tc>
        <w:tc>
          <w:tcPr>
            <w:tcW w:w="810" w:type="dxa"/>
            <w:vMerge w:val="restart"/>
          </w:tcPr>
          <w:p w:rsidR="00765A3D" w:rsidRDefault="006A5ACA">
            <w:pPr>
              <w:shd w:val="clear" w:color="auto" w:fill="FFFFFF"/>
              <w:jc w:val="both"/>
              <w:rPr>
                <w:szCs w:val="24"/>
              </w:rPr>
            </w:pPr>
            <w:r>
              <w:rPr>
                <w:szCs w:val="24"/>
              </w:rPr>
              <w:t>0.915</w:t>
            </w:r>
          </w:p>
        </w:tc>
        <w:tc>
          <w:tcPr>
            <w:tcW w:w="810" w:type="dxa"/>
            <w:vMerge w:val="restart"/>
          </w:tcPr>
          <w:p w:rsidR="00765A3D" w:rsidRDefault="006A5ACA">
            <w:pPr>
              <w:shd w:val="clear" w:color="auto" w:fill="FFFFFF"/>
              <w:jc w:val="both"/>
              <w:rPr>
                <w:szCs w:val="24"/>
              </w:rPr>
            </w:pPr>
            <w:r>
              <w:rPr>
                <w:szCs w:val="24"/>
              </w:rPr>
              <w:t>0.946</w:t>
            </w:r>
          </w:p>
        </w:tc>
        <w:tc>
          <w:tcPr>
            <w:tcW w:w="810" w:type="dxa"/>
            <w:vMerge w:val="restart"/>
          </w:tcPr>
          <w:p w:rsidR="00765A3D" w:rsidRDefault="006A5ACA">
            <w:pPr>
              <w:shd w:val="clear" w:color="auto" w:fill="FFFFFF"/>
              <w:jc w:val="both"/>
              <w:rPr>
                <w:szCs w:val="24"/>
              </w:rPr>
            </w:pPr>
            <w:r>
              <w:rPr>
                <w:szCs w:val="24"/>
              </w:rPr>
              <w:t>0.854</w:t>
            </w: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TR1</w:t>
            </w:r>
          </w:p>
        </w:tc>
        <w:tc>
          <w:tcPr>
            <w:tcW w:w="2827" w:type="dxa"/>
            <w:vMerge w:val="restart"/>
          </w:tcPr>
          <w:p w:rsidR="00765A3D" w:rsidRDefault="006A5ACA">
            <w:pPr>
              <w:shd w:val="clear" w:color="auto" w:fill="FFFFFF"/>
              <w:jc w:val="both"/>
              <w:rPr>
                <w:szCs w:val="24"/>
              </w:rPr>
            </w:pPr>
            <w:r>
              <w:rPr>
                <w:szCs w:val="24"/>
              </w:rPr>
              <w:t>I trust M-banking to be reliable.</w:t>
            </w:r>
          </w:p>
          <w:p w:rsidR="00765A3D" w:rsidRDefault="00765A3D">
            <w:pPr>
              <w:shd w:val="clear" w:color="auto" w:fill="FFFFFF"/>
              <w:jc w:val="both"/>
              <w:rPr>
                <w:szCs w:val="24"/>
              </w:rPr>
            </w:pPr>
          </w:p>
        </w:tc>
        <w:tc>
          <w:tcPr>
            <w:tcW w:w="1440" w:type="dxa"/>
            <w:vMerge w:val="restart"/>
          </w:tcPr>
          <w:p w:rsidR="00765A3D" w:rsidRDefault="006A5ACA">
            <w:pPr>
              <w:shd w:val="clear" w:color="auto" w:fill="FFFFFF"/>
              <w:jc w:val="both"/>
              <w:rPr>
                <w:szCs w:val="24"/>
              </w:rPr>
            </w:pPr>
            <w:r>
              <w:rPr>
                <w:szCs w:val="24"/>
              </w:rPr>
              <w:t>Al-</w:t>
            </w:r>
            <w:proofErr w:type="spellStart"/>
            <w:r>
              <w:rPr>
                <w:szCs w:val="24"/>
              </w:rPr>
              <w:t>Jabri</w:t>
            </w:r>
            <w:proofErr w:type="spellEnd"/>
            <w:r>
              <w:rPr>
                <w:szCs w:val="24"/>
              </w:rPr>
              <w:t xml:space="preserve"> (2016)</w:t>
            </w:r>
          </w:p>
        </w:tc>
        <w:tc>
          <w:tcPr>
            <w:tcW w:w="900" w:type="dxa"/>
            <w:vMerge w:val="restart"/>
          </w:tcPr>
          <w:p w:rsidR="00765A3D" w:rsidRDefault="006A5ACA">
            <w:pPr>
              <w:shd w:val="clear" w:color="auto" w:fill="FFFFFF"/>
              <w:jc w:val="both"/>
              <w:rPr>
                <w:szCs w:val="24"/>
              </w:rPr>
            </w:pPr>
            <w:r>
              <w:rPr>
                <w:szCs w:val="24"/>
              </w:rPr>
              <w:t>0.919</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TR2</w:t>
            </w:r>
          </w:p>
        </w:tc>
        <w:tc>
          <w:tcPr>
            <w:tcW w:w="2827" w:type="dxa"/>
            <w:vMerge w:val="restart"/>
          </w:tcPr>
          <w:p w:rsidR="00765A3D" w:rsidRDefault="006A5ACA">
            <w:pPr>
              <w:shd w:val="clear" w:color="auto" w:fill="FFFFFF"/>
              <w:jc w:val="both"/>
              <w:rPr>
                <w:szCs w:val="24"/>
              </w:rPr>
            </w:pPr>
            <w:r>
              <w:rPr>
                <w:szCs w:val="24"/>
              </w:rPr>
              <w:t>I trust that M-banking delivers on its promises.</w:t>
            </w:r>
          </w:p>
          <w:p w:rsidR="00765A3D" w:rsidRDefault="00765A3D">
            <w:pPr>
              <w:shd w:val="clear" w:color="auto" w:fill="FFFFFF"/>
              <w:jc w:val="both"/>
              <w:rPr>
                <w:szCs w:val="24"/>
              </w:rPr>
            </w:pPr>
          </w:p>
        </w:tc>
        <w:tc>
          <w:tcPr>
            <w:tcW w:w="1440" w:type="dxa"/>
            <w:vMerge/>
          </w:tcPr>
          <w:p w:rsidR="00765A3D" w:rsidRDefault="00765A3D">
            <w:pPr>
              <w:widowControl w:val="0"/>
              <w:rPr>
                <w:szCs w:val="24"/>
              </w:rPr>
            </w:pPr>
          </w:p>
        </w:tc>
        <w:tc>
          <w:tcPr>
            <w:tcW w:w="900" w:type="dxa"/>
            <w:vMerge w:val="restart"/>
          </w:tcPr>
          <w:p w:rsidR="00765A3D" w:rsidRDefault="006A5ACA">
            <w:pPr>
              <w:shd w:val="clear" w:color="auto" w:fill="FFFFFF"/>
              <w:jc w:val="both"/>
              <w:rPr>
                <w:szCs w:val="24"/>
              </w:rPr>
            </w:pPr>
            <w:r>
              <w:rPr>
                <w:szCs w:val="24"/>
              </w:rPr>
              <w:t>0.930</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TR3</w:t>
            </w:r>
          </w:p>
        </w:tc>
        <w:tc>
          <w:tcPr>
            <w:tcW w:w="2827" w:type="dxa"/>
            <w:vMerge w:val="restart"/>
          </w:tcPr>
          <w:p w:rsidR="00765A3D" w:rsidRDefault="006A5ACA">
            <w:pPr>
              <w:shd w:val="clear" w:color="auto" w:fill="FFFFFF"/>
              <w:jc w:val="both"/>
              <w:rPr>
                <w:szCs w:val="24"/>
              </w:rPr>
            </w:pPr>
            <w:r>
              <w:rPr>
                <w:szCs w:val="24"/>
              </w:rPr>
              <w:t xml:space="preserve">I trust that M-banking </w:t>
            </w:r>
            <w:r>
              <w:rPr>
                <w:szCs w:val="24"/>
              </w:rPr>
              <w:lastRenderedPageBreak/>
              <w:t>always considers the interests of its customers.</w:t>
            </w:r>
          </w:p>
        </w:tc>
        <w:tc>
          <w:tcPr>
            <w:tcW w:w="1440" w:type="dxa"/>
            <w:vMerge/>
          </w:tcPr>
          <w:p w:rsidR="00765A3D" w:rsidRDefault="00765A3D">
            <w:pPr>
              <w:widowControl w:val="0"/>
              <w:rPr>
                <w:szCs w:val="24"/>
              </w:rPr>
            </w:pPr>
          </w:p>
        </w:tc>
        <w:tc>
          <w:tcPr>
            <w:tcW w:w="900" w:type="dxa"/>
            <w:vMerge w:val="restart"/>
          </w:tcPr>
          <w:p w:rsidR="00765A3D" w:rsidRDefault="006A5ACA">
            <w:pPr>
              <w:shd w:val="clear" w:color="auto" w:fill="FFFFFF"/>
              <w:jc w:val="both"/>
              <w:rPr>
                <w:szCs w:val="24"/>
              </w:rPr>
            </w:pPr>
            <w:r>
              <w:rPr>
                <w:szCs w:val="24"/>
              </w:rPr>
              <w:t>0.924</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300"/>
        </w:trPr>
        <w:tc>
          <w:tcPr>
            <w:tcW w:w="1451" w:type="dxa"/>
          </w:tcPr>
          <w:p w:rsidR="00765A3D" w:rsidRDefault="006A5ACA">
            <w:pPr>
              <w:shd w:val="clear" w:color="auto" w:fill="FFFFFF"/>
              <w:jc w:val="both"/>
              <w:rPr>
                <w:szCs w:val="24"/>
              </w:rPr>
            </w:pPr>
            <w:r>
              <w:rPr>
                <w:szCs w:val="24"/>
              </w:rPr>
              <w:lastRenderedPageBreak/>
              <w:t>Perceived Risk</w:t>
            </w:r>
          </w:p>
        </w:tc>
        <w:tc>
          <w:tcPr>
            <w:tcW w:w="2827" w:type="dxa"/>
          </w:tcPr>
          <w:p w:rsidR="00765A3D" w:rsidRDefault="00765A3D">
            <w:pPr>
              <w:shd w:val="clear" w:color="auto" w:fill="FFFFFF"/>
              <w:jc w:val="both"/>
              <w:rPr>
                <w:szCs w:val="24"/>
              </w:rPr>
            </w:pPr>
          </w:p>
        </w:tc>
        <w:tc>
          <w:tcPr>
            <w:tcW w:w="1440" w:type="dxa"/>
          </w:tcPr>
          <w:p w:rsidR="00765A3D" w:rsidRDefault="00765A3D">
            <w:pPr>
              <w:shd w:val="clear" w:color="auto" w:fill="FFFFFF"/>
              <w:jc w:val="both"/>
              <w:rPr>
                <w:szCs w:val="24"/>
              </w:rPr>
            </w:pPr>
          </w:p>
        </w:tc>
        <w:tc>
          <w:tcPr>
            <w:tcW w:w="900" w:type="dxa"/>
          </w:tcPr>
          <w:p w:rsidR="00765A3D" w:rsidRDefault="00765A3D">
            <w:pPr>
              <w:shd w:val="clear" w:color="auto" w:fill="FFFFFF"/>
              <w:jc w:val="both"/>
              <w:rPr>
                <w:szCs w:val="24"/>
              </w:rPr>
            </w:pPr>
          </w:p>
        </w:tc>
        <w:tc>
          <w:tcPr>
            <w:tcW w:w="810" w:type="dxa"/>
          </w:tcPr>
          <w:p w:rsidR="00765A3D" w:rsidRDefault="006A5ACA">
            <w:pPr>
              <w:shd w:val="clear" w:color="auto" w:fill="FFFFFF"/>
              <w:jc w:val="both"/>
              <w:rPr>
                <w:szCs w:val="24"/>
              </w:rPr>
            </w:pPr>
            <w:r>
              <w:rPr>
                <w:szCs w:val="24"/>
              </w:rPr>
              <w:t>0.842</w:t>
            </w:r>
          </w:p>
        </w:tc>
        <w:tc>
          <w:tcPr>
            <w:tcW w:w="810" w:type="dxa"/>
          </w:tcPr>
          <w:p w:rsidR="00765A3D" w:rsidRDefault="006A5ACA">
            <w:pPr>
              <w:shd w:val="clear" w:color="auto" w:fill="FFFFFF"/>
              <w:jc w:val="both"/>
              <w:rPr>
                <w:szCs w:val="24"/>
              </w:rPr>
            </w:pPr>
            <w:r>
              <w:rPr>
                <w:szCs w:val="24"/>
              </w:rPr>
              <w:t>0.899</w:t>
            </w:r>
          </w:p>
        </w:tc>
        <w:tc>
          <w:tcPr>
            <w:tcW w:w="810" w:type="dxa"/>
          </w:tcPr>
          <w:p w:rsidR="00765A3D" w:rsidRDefault="006A5ACA">
            <w:pPr>
              <w:shd w:val="clear" w:color="auto" w:fill="FFFFFF"/>
              <w:jc w:val="both"/>
              <w:rPr>
                <w:szCs w:val="24"/>
              </w:rPr>
            </w:pPr>
            <w:r>
              <w:rPr>
                <w:szCs w:val="24"/>
              </w:rPr>
              <w:t>0.748</w:t>
            </w:r>
          </w:p>
        </w:tc>
      </w:tr>
      <w:tr w:rsidR="00765A3D">
        <w:trPr>
          <w:trHeight w:val="414"/>
        </w:trPr>
        <w:tc>
          <w:tcPr>
            <w:tcW w:w="1451" w:type="dxa"/>
            <w:vMerge w:val="restart"/>
          </w:tcPr>
          <w:p w:rsidR="00765A3D" w:rsidRDefault="006A5ACA">
            <w:pPr>
              <w:shd w:val="clear" w:color="auto" w:fill="FFFFFF"/>
              <w:jc w:val="both"/>
              <w:rPr>
                <w:szCs w:val="24"/>
              </w:rPr>
            </w:pPr>
            <w:r>
              <w:rPr>
                <w:szCs w:val="24"/>
              </w:rPr>
              <w:t>PR1</w:t>
            </w:r>
          </w:p>
        </w:tc>
        <w:tc>
          <w:tcPr>
            <w:tcW w:w="2827" w:type="dxa"/>
            <w:vMerge w:val="restart"/>
          </w:tcPr>
          <w:p w:rsidR="00765A3D" w:rsidRDefault="006A5ACA">
            <w:pPr>
              <w:shd w:val="clear" w:color="auto" w:fill="FFFFFF"/>
              <w:jc w:val="both"/>
              <w:rPr>
                <w:szCs w:val="24"/>
              </w:rPr>
            </w:pPr>
            <w:r>
              <w:rPr>
                <w:szCs w:val="24"/>
              </w:rPr>
              <w:t>I would not feel safe providing personal privacy information through M-banking.</w:t>
            </w:r>
          </w:p>
          <w:p w:rsidR="00765A3D" w:rsidRDefault="00765A3D">
            <w:pPr>
              <w:shd w:val="clear" w:color="auto" w:fill="FFFFFF"/>
              <w:jc w:val="both"/>
              <w:rPr>
                <w:szCs w:val="24"/>
              </w:rPr>
            </w:pPr>
          </w:p>
        </w:tc>
        <w:tc>
          <w:tcPr>
            <w:tcW w:w="1440" w:type="dxa"/>
            <w:vMerge w:val="restart"/>
          </w:tcPr>
          <w:p w:rsidR="00765A3D" w:rsidRDefault="006A5ACA">
            <w:pPr>
              <w:shd w:val="clear" w:color="auto" w:fill="FFFFFF"/>
              <w:jc w:val="both"/>
              <w:rPr>
                <w:szCs w:val="24"/>
              </w:rPr>
            </w:pPr>
            <w:r>
              <w:rPr>
                <w:szCs w:val="24"/>
              </w:rPr>
              <w:t>Al-</w:t>
            </w:r>
            <w:proofErr w:type="spellStart"/>
            <w:r>
              <w:rPr>
                <w:szCs w:val="24"/>
              </w:rPr>
              <w:t>Jabri</w:t>
            </w:r>
            <w:proofErr w:type="spellEnd"/>
            <w:r>
              <w:rPr>
                <w:szCs w:val="24"/>
              </w:rPr>
              <w:t xml:space="preserve"> (2016)</w:t>
            </w:r>
          </w:p>
        </w:tc>
        <w:tc>
          <w:tcPr>
            <w:tcW w:w="900" w:type="dxa"/>
            <w:vMerge w:val="restart"/>
          </w:tcPr>
          <w:p w:rsidR="00765A3D" w:rsidRDefault="006A5ACA">
            <w:pPr>
              <w:shd w:val="clear" w:color="auto" w:fill="FFFFFF"/>
              <w:jc w:val="both"/>
              <w:rPr>
                <w:szCs w:val="24"/>
              </w:rPr>
            </w:pPr>
            <w:r>
              <w:rPr>
                <w:szCs w:val="24"/>
              </w:rPr>
              <w:t>0.908</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PR2</w:t>
            </w:r>
          </w:p>
        </w:tc>
        <w:tc>
          <w:tcPr>
            <w:tcW w:w="2827" w:type="dxa"/>
            <w:vMerge w:val="restart"/>
          </w:tcPr>
          <w:p w:rsidR="00765A3D" w:rsidRDefault="006A5ACA">
            <w:pPr>
              <w:shd w:val="clear" w:color="auto" w:fill="FFFFFF"/>
              <w:jc w:val="both"/>
              <w:rPr>
                <w:szCs w:val="24"/>
              </w:rPr>
            </w:pPr>
            <w:r>
              <w:rPr>
                <w:szCs w:val="24"/>
              </w:rPr>
              <w:t>I am concerned about using M-banking because others may access my account.</w:t>
            </w:r>
          </w:p>
          <w:p w:rsidR="00765A3D" w:rsidRDefault="00765A3D">
            <w:pPr>
              <w:shd w:val="clear" w:color="auto" w:fill="FFFFFF"/>
              <w:jc w:val="both"/>
              <w:rPr>
                <w:szCs w:val="24"/>
              </w:rPr>
            </w:pPr>
          </w:p>
        </w:tc>
        <w:tc>
          <w:tcPr>
            <w:tcW w:w="1440" w:type="dxa"/>
            <w:vMerge/>
          </w:tcPr>
          <w:p w:rsidR="00765A3D" w:rsidRDefault="00765A3D">
            <w:pPr>
              <w:widowControl w:val="0"/>
              <w:rPr>
                <w:szCs w:val="24"/>
              </w:rPr>
            </w:pPr>
          </w:p>
        </w:tc>
        <w:tc>
          <w:tcPr>
            <w:tcW w:w="900" w:type="dxa"/>
            <w:vMerge w:val="restart"/>
          </w:tcPr>
          <w:p w:rsidR="00765A3D" w:rsidRDefault="006A5ACA">
            <w:pPr>
              <w:shd w:val="clear" w:color="auto" w:fill="FFFFFF"/>
              <w:jc w:val="both"/>
              <w:rPr>
                <w:szCs w:val="24"/>
              </w:rPr>
            </w:pPr>
            <w:r>
              <w:rPr>
                <w:szCs w:val="24"/>
              </w:rPr>
              <w:t>0.898</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PR3</w:t>
            </w:r>
          </w:p>
        </w:tc>
        <w:tc>
          <w:tcPr>
            <w:tcW w:w="2827" w:type="dxa"/>
            <w:vMerge w:val="restart"/>
          </w:tcPr>
          <w:p w:rsidR="00765A3D" w:rsidRDefault="006A5ACA">
            <w:pPr>
              <w:shd w:val="clear" w:color="auto" w:fill="FFFFFF"/>
              <w:jc w:val="both"/>
              <w:rPr>
                <w:szCs w:val="24"/>
              </w:rPr>
            </w:pPr>
            <w:r>
              <w:rPr>
                <w:szCs w:val="24"/>
              </w:rPr>
              <w:t>When transferring money through M-banking, I am afraid of losing my money.</w:t>
            </w:r>
          </w:p>
        </w:tc>
        <w:tc>
          <w:tcPr>
            <w:tcW w:w="1440" w:type="dxa"/>
            <w:vMerge/>
          </w:tcPr>
          <w:p w:rsidR="00765A3D" w:rsidRDefault="00765A3D">
            <w:pPr>
              <w:widowControl w:val="0"/>
              <w:rPr>
                <w:szCs w:val="24"/>
              </w:rPr>
            </w:pPr>
          </w:p>
        </w:tc>
        <w:tc>
          <w:tcPr>
            <w:tcW w:w="900" w:type="dxa"/>
            <w:vMerge w:val="restart"/>
          </w:tcPr>
          <w:p w:rsidR="00765A3D" w:rsidRDefault="006A5ACA">
            <w:pPr>
              <w:shd w:val="clear" w:color="auto" w:fill="FFFFFF"/>
              <w:jc w:val="both"/>
              <w:rPr>
                <w:szCs w:val="24"/>
              </w:rPr>
            </w:pPr>
            <w:r>
              <w:rPr>
                <w:szCs w:val="24"/>
              </w:rPr>
              <w:t>0.784</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300"/>
        </w:trPr>
        <w:tc>
          <w:tcPr>
            <w:tcW w:w="1451" w:type="dxa"/>
          </w:tcPr>
          <w:p w:rsidR="00765A3D" w:rsidRDefault="006A5ACA">
            <w:pPr>
              <w:shd w:val="clear" w:color="auto" w:fill="FFFFFF"/>
              <w:jc w:val="both"/>
              <w:rPr>
                <w:szCs w:val="24"/>
              </w:rPr>
            </w:pPr>
            <w:r>
              <w:rPr>
                <w:szCs w:val="24"/>
              </w:rPr>
              <w:t>Intention</w:t>
            </w:r>
          </w:p>
        </w:tc>
        <w:tc>
          <w:tcPr>
            <w:tcW w:w="2827" w:type="dxa"/>
          </w:tcPr>
          <w:p w:rsidR="00765A3D" w:rsidRDefault="00765A3D">
            <w:pPr>
              <w:shd w:val="clear" w:color="auto" w:fill="FFFFFF"/>
              <w:jc w:val="both"/>
              <w:rPr>
                <w:szCs w:val="24"/>
              </w:rPr>
            </w:pPr>
          </w:p>
        </w:tc>
        <w:tc>
          <w:tcPr>
            <w:tcW w:w="1440" w:type="dxa"/>
          </w:tcPr>
          <w:p w:rsidR="00765A3D" w:rsidRDefault="00765A3D">
            <w:pPr>
              <w:shd w:val="clear" w:color="auto" w:fill="FFFFFF"/>
              <w:jc w:val="both"/>
              <w:rPr>
                <w:szCs w:val="24"/>
              </w:rPr>
            </w:pPr>
          </w:p>
        </w:tc>
        <w:tc>
          <w:tcPr>
            <w:tcW w:w="900" w:type="dxa"/>
          </w:tcPr>
          <w:p w:rsidR="00765A3D" w:rsidRDefault="00765A3D">
            <w:pPr>
              <w:shd w:val="clear" w:color="auto" w:fill="FFFFFF"/>
              <w:jc w:val="both"/>
              <w:rPr>
                <w:szCs w:val="24"/>
              </w:rPr>
            </w:pPr>
          </w:p>
        </w:tc>
        <w:tc>
          <w:tcPr>
            <w:tcW w:w="810" w:type="dxa"/>
          </w:tcPr>
          <w:p w:rsidR="00765A3D" w:rsidRDefault="006A5ACA">
            <w:pPr>
              <w:shd w:val="clear" w:color="auto" w:fill="FFFFFF"/>
              <w:jc w:val="both"/>
              <w:rPr>
                <w:szCs w:val="24"/>
              </w:rPr>
            </w:pPr>
            <w:r>
              <w:rPr>
                <w:szCs w:val="24"/>
              </w:rPr>
              <w:t>0.919</w:t>
            </w:r>
          </w:p>
        </w:tc>
        <w:tc>
          <w:tcPr>
            <w:tcW w:w="810" w:type="dxa"/>
          </w:tcPr>
          <w:p w:rsidR="00765A3D" w:rsidRDefault="006A5ACA">
            <w:pPr>
              <w:shd w:val="clear" w:color="auto" w:fill="FFFFFF"/>
              <w:jc w:val="both"/>
              <w:rPr>
                <w:szCs w:val="24"/>
              </w:rPr>
            </w:pPr>
            <w:r>
              <w:rPr>
                <w:szCs w:val="24"/>
              </w:rPr>
              <w:t>0.943</w:t>
            </w:r>
          </w:p>
        </w:tc>
        <w:tc>
          <w:tcPr>
            <w:tcW w:w="810" w:type="dxa"/>
          </w:tcPr>
          <w:p w:rsidR="00765A3D" w:rsidRDefault="006A5ACA">
            <w:pPr>
              <w:shd w:val="clear" w:color="auto" w:fill="FFFFFF"/>
              <w:jc w:val="both"/>
              <w:rPr>
                <w:szCs w:val="24"/>
              </w:rPr>
            </w:pPr>
            <w:r>
              <w:rPr>
                <w:szCs w:val="24"/>
              </w:rPr>
              <w:t>0.805</w:t>
            </w:r>
          </w:p>
        </w:tc>
      </w:tr>
      <w:tr w:rsidR="00765A3D">
        <w:trPr>
          <w:trHeight w:val="414"/>
        </w:trPr>
        <w:tc>
          <w:tcPr>
            <w:tcW w:w="1451" w:type="dxa"/>
            <w:vMerge w:val="restart"/>
          </w:tcPr>
          <w:p w:rsidR="00765A3D" w:rsidRDefault="006A5ACA">
            <w:pPr>
              <w:shd w:val="clear" w:color="auto" w:fill="FFFFFF"/>
              <w:jc w:val="both"/>
              <w:rPr>
                <w:szCs w:val="24"/>
              </w:rPr>
            </w:pPr>
            <w:r>
              <w:rPr>
                <w:szCs w:val="24"/>
              </w:rPr>
              <w:t>INT1</w:t>
            </w:r>
          </w:p>
        </w:tc>
        <w:tc>
          <w:tcPr>
            <w:tcW w:w="2827" w:type="dxa"/>
            <w:vMerge w:val="restart"/>
          </w:tcPr>
          <w:p w:rsidR="00765A3D" w:rsidRDefault="006A5ACA">
            <w:pPr>
              <w:shd w:val="clear" w:color="auto" w:fill="FFFFFF"/>
              <w:jc w:val="both"/>
              <w:rPr>
                <w:szCs w:val="24"/>
              </w:rPr>
            </w:pPr>
            <w:r>
              <w:rPr>
                <w:szCs w:val="24"/>
              </w:rPr>
              <w:t>I will always use M-banking in the future.</w:t>
            </w:r>
          </w:p>
          <w:p w:rsidR="00765A3D" w:rsidRDefault="00765A3D">
            <w:pPr>
              <w:shd w:val="clear" w:color="auto" w:fill="FFFFFF"/>
              <w:jc w:val="both"/>
              <w:rPr>
                <w:szCs w:val="24"/>
              </w:rPr>
            </w:pPr>
          </w:p>
        </w:tc>
        <w:tc>
          <w:tcPr>
            <w:tcW w:w="1440" w:type="dxa"/>
            <w:vMerge w:val="restart"/>
          </w:tcPr>
          <w:p w:rsidR="00765A3D" w:rsidRDefault="006A5ACA">
            <w:pPr>
              <w:shd w:val="clear" w:color="auto" w:fill="FFFFFF"/>
              <w:jc w:val="both"/>
              <w:rPr>
                <w:szCs w:val="24"/>
              </w:rPr>
            </w:pPr>
            <w:proofErr w:type="spellStart"/>
            <w:r>
              <w:rPr>
                <w:szCs w:val="24"/>
              </w:rPr>
              <w:t>Nuangjamnong</w:t>
            </w:r>
            <w:proofErr w:type="spellEnd"/>
            <w:r>
              <w:rPr>
                <w:szCs w:val="24"/>
              </w:rPr>
              <w:t xml:space="preserve"> (2021)</w:t>
            </w:r>
          </w:p>
        </w:tc>
        <w:tc>
          <w:tcPr>
            <w:tcW w:w="900" w:type="dxa"/>
            <w:vMerge w:val="restart"/>
          </w:tcPr>
          <w:p w:rsidR="00765A3D" w:rsidRDefault="006A5ACA">
            <w:pPr>
              <w:shd w:val="clear" w:color="auto" w:fill="FFFFFF"/>
              <w:jc w:val="both"/>
              <w:rPr>
                <w:szCs w:val="24"/>
              </w:rPr>
            </w:pPr>
            <w:r>
              <w:rPr>
                <w:szCs w:val="24"/>
              </w:rPr>
              <w:t>0.899</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INT2</w:t>
            </w:r>
          </w:p>
        </w:tc>
        <w:tc>
          <w:tcPr>
            <w:tcW w:w="2827" w:type="dxa"/>
            <w:vMerge w:val="restart"/>
          </w:tcPr>
          <w:p w:rsidR="00765A3D" w:rsidRDefault="006A5ACA">
            <w:pPr>
              <w:shd w:val="clear" w:color="auto" w:fill="FFFFFF"/>
              <w:jc w:val="both"/>
              <w:rPr>
                <w:szCs w:val="24"/>
              </w:rPr>
            </w:pPr>
            <w:r>
              <w:rPr>
                <w:szCs w:val="24"/>
              </w:rPr>
              <w:t>I will use mobile banking services to make financial transactions.</w:t>
            </w:r>
          </w:p>
          <w:p w:rsidR="00765A3D" w:rsidRDefault="00765A3D">
            <w:pPr>
              <w:shd w:val="clear" w:color="auto" w:fill="FFFFFF"/>
              <w:jc w:val="both"/>
              <w:rPr>
                <w:szCs w:val="24"/>
              </w:rPr>
            </w:pPr>
          </w:p>
        </w:tc>
        <w:tc>
          <w:tcPr>
            <w:tcW w:w="1440" w:type="dxa"/>
            <w:vMerge w:val="restart"/>
          </w:tcPr>
          <w:p w:rsidR="00765A3D" w:rsidRDefault="006A5ACA">
            <w:pPr>
              <w:shd w:val="clear" w:color="auto" w:fill="FFFFFF"/>
              <w:jc w:val="both"/>
              <w:rPr>
                <w:szCs w:val="24"/>
              </w:rPr>
            </w:pPr>
            <w:proofErr w:type="spellStart"/>
            <w:r>
              <w:rPr>
                <w:szCs w:val="24"/>
              </w:rPr>
              <w:t>Nuangjamnong</w:t>
            </w:r>
            <w:proofErr w:type="spellEnd"/>
            <w:r>
              <w:rPr>
                <w:szCs w:val="24"/>
              </w:rPr>
              <w:t xml:space="preserve"> (2021)</w:t>
            </w:r>
          </w:p>
        </w:tc>
        <w:tc>
          <w:tcPr>
            <w:tcW w:w="900" w:type="dxa"/>
            <w:vMerge w:val="restart"/>
          </w:tcPr>
          <w:p w:rsidR="00765A3D" w:rsidRDefault="006A5ACA">
            <w:pPr>
              <w:shd w:val="clear" w:color="auto" w:fill="FFFFFF"/>
              <w:jc w:val="both"/>
              <w:rPr>
                <w:szCs w:val="24"/>
              </w:rPr>
            </w:pPr>
            <w:r>
              <w:rPr>
                <w:szCs w:val="24"/>
              </w:rPr>
              <w:t>0.918</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INT3</w:t>
            </w:r>
          </w:p>
        </w:tc>
        <w:tc>
          <w:tcPr>
            <w:tcW w:w="2827" w:type="dxa"/>
            <w:vMerge w:val="restart"/>
          </w:tcPr>
          <w:p w:rsidR="00765A3D" w:rsidRDefault="006A5ACA">
            <w:pPr>
              <w:shd w:val="clear" w:color="auto" w:fill="FFFFFF"/>
              <w:jc w:val="both"/>
              <w:rPr>
                <w:szCs w:val="24"/>
              </w:rPr>
            </w:pPr>
            <w:r>
              <w:rPr>
                <w:szCs w:val="24"/>
              </w:rPr>
              <w:t>I will use M-banking to make financial transactions.</w:t>
            </w:r>
          </w:p>
          <w:p w:rsidR="00765A3D" w:rsidRDefault="00765A3D">
            <w:pPr>
              <w:shd w:val="clear" w:color="auto" w:fill="FFFFFF"/>
              <w:jc w:val="both"/>
              <w:rPr>
                <w:szCs w:val="24"/>
              </w:rPr>
            </w:pPr>
          </w:p>
        </w:tc>
        <w:tc>
          <w:tcPr>
            <w:tcW w:w="1440" w:type="dxa"/>
            <w:vMerge w:val="restart"/>
          </w:tcPr>
          <w:p w:rsidR="00765A3D" w:rsidRDefault="006A5ACA">
            <w:pPr>
              <w:shd w:val="clear" w:color="auto" w:fill="FFFFFF"/>
              <w:jc w:val="both"/>
              <w:rPr>
                <w:szCs w:val="24"/>
              </w:rPr>
            </w:pPr>
            <w:proofErr w:type="spellStart"/>
            <w:r>
              <w:rPr>
                <w:szCs w:val="24"/>
              </w:rPr>
              <w:t>Nuangjamnong</w:t>
            </w:r>
            <w:proofErr w:type="spellEnd"/>
            <w:r>
              <w:rPr>
                <w:szCs w:val="24"/>
              </w:rPr>
              <w:t xml:space="preserve"> (2021)</w:t>
            </w:r>
          </w:p>
        </w:tc>
        <w:tc>
          <w:tcPr>
            <w:tcW w:w="900" w:type="dxa"/>
            <w:vMerge w:val="restart"/>
          </w:tcPr>
          <w:p w:rsidR="00765A3D" w:rsidRDefault="006A5ACA">
            <w:pPr>
              <w:shd w:val="clear" w:color="auto" w:fill="FFFFFF"/>
              <w:jc w:val="both"/>
              <w:rPr>
                <w:szCs w:val="24"/>
              </w:rPr>
            </w:pPr>
            <w:r>
              <w:rPr>
                <w:szCs w:val="24"/>
              </w:rPr>
              <w:t>0.901</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r w:rsidR="00765A3D">
        <w:trPr>
          <w:trHeight w:val="414"/>
        </w:trPr>
        <w:tc>
          <w:tcPr>
            <w:tcW w:w="1451" w:type="dxa"/>
            <w:vMerge w:val="restart"/>
          </w:tcPr>
          <w:p w:rsidR="00765A3D" w:rsidRDefault="006A5ACA">
            <w:pPr>
              <w:shd w:val="clear" w:color="auto" w:fill="FFFFFF"/>
              <w:jc w:val="both"/>
              <w:rPr>
                <w:szCs w:val="24"/>
              </w:rPr>
            </w:pPr>
            <w:r>
              <w:rPr>
                <w:szCs w:val="24"/>
              </w:rPr>
              <w:t>INT4</w:t>
            </w:r>
          </w:p>
        </w:tc>
        <w:tc>
          <w:tcPr>
            <w:tcW w:w="2827" w:type="dxa"/>
            <w:vMerge w:val="restart"/>
          </w:tcPr>
          <w:p w:rsidR="00765A3D" w:rsidRDefault="006A5ACA">
            <w:pPr>
              <w:shd w:val="clear" w:color="auto" w:fill="FFFFFF"/>
              <w:jc w:val="both"/>
              <w:rPr>
                <w:szCs w:val="24"/>
              </w:rPr>
            </w:pPr>
            <w:r>
              <w:rPr>
                <w:szCs w:val="24"/>
              </w:rPr>
              <w:t>I want to start using M-banking soon.</w:t>
            </w:r>
          </w:p>
        </w:tc>
        <w:tc>
          <w:tcPr>
            <w:tcW w:w="1440" w:type="dxa"/>
            <w:vMerge w:val="restart"/>
          </w:tcPr>
          <w:p w:rsidR="00765A3D" w:rsidRDefault="006A5ACA">
            <w:pPr>
              <w:shd w:val="clear" w:color="auto" w:fill="FFFFFF"/>
              <w:jc w:val="both"/>
              <w:rPr>
                <w:szCs w:val="24"/>
              </w:rPr>
            </w:pPr>
            <w:proofErr w:type="spellStart"/>
            <w:r>
              <w:rPr>
                <w:szCs w:val="24"/>
              </w:rPr>
              <w:t>Aboelmaged</w:t>
            </w:r>
            <w:proofErr w:type="spellEnd"/>
            <w:r>
              <w:rPr>
                <w:szCs w:val="24"/>
              </w:rPr>
              <w:t xml:space="preserve"> (2013)</w:t>
            </w:r>
          </w:p>
        </w:tc>
        <w:tc>
          <w:tcPr>
            <w:tcW w:w="900" w:type="dxa"/>
            <w:vMerge w:val="restart"/>
          </w:tcPr>
          <w:p w:rsidR="00765A3D" w:rsidRDefault="006A5ACA">
            <w:pPr>
              <w:shd w:val="clear" w:color="auto" w:fill="FFFFFF"/>
              <w:jc w:val="both"/>
              <w:rPr>
                <w:szCs w:val="24"/>
              </w:rPr>
            </w:pPr>
            <w:r>
              <w:rPr>
                <w:szCs w:val="24"/>
              </w:rPr>
              <w:t>0.870</w:t>
            </w: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c>
          <w:tcPr>
            <w:tcW w:w="810" w:type="dxa"/>
            <w:vMerge w:val="restart"/>
          </w:tcPr>
          <w:p w:rsidR="00765A3D" w:rsidRDefault="00765A3D">
            <w:pPr>
              <w:shd w:val="clear" w:color="auto" w:fill="FFFFFF"/>
              <w:jc w:val="both"/>
              <w:rPr>
                <w:szCs w:val="24"/>
              </w:rPr>
            </w:pPr>
          </w:p>
        </w:tc>
      </w:tr>
      <w:tr w:rsidR="00765A3D">
        <w:trPr>
          <w:trHeight w:val="414"/>
        </w:trPr>
        <w:tc>
          <w:tcPr>
            <w:tcW w:w="1451" w:type="dxa"/>
            <w:vMerge/>
          </w:tcPr>
          <w:p w:rsidR="00765A3D" w:rsidRDefault="00765A3D">
            <w:pPr>
              <w:widowControl w:val="0"/>
              <w:rPr>
                <w:szCs w:val="24"/>
              </w:rPr>
            </w:pPr>
          </w:p>
        </w:tc>
        <w:tc>
          <w:tcPr>
            <w:tcW w:w="2827" w:type="dxa"/>
            <w:vMerge/>
          </w:tcPr>
          <w:p w:rsidR="00765A3D" w:rsidRDefault="00765A3D">
            <w:pPr>
              <w:widowControl w:val="0"/>
              <w:rPr>
                <w:szCs w:val="24"/>
              </w:rPr>
            </w:pPr>
          </w:p>
        </w:tc>
        <w:tc>
          <w:tcPr>
            <w:tcW w:w="1440" w:type="dxa"/>
            <w:vMerge/>
          </w:tcPr>
          <w:p w:rsidR="00765A3D" w:rsidRDefault="00765A3D">
            <w:pPr>
              <w:widowControl w:val="0"/>
              <w:rPr>
                <w:szCs w:val="24"/>
              </w:rPr>
            </w:pPr>
          </w:p>
        </w:tc>
        <w:tc>
          <w:tcPr>
            <w:tcW w:w="90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c>
          <w:tcPr>
            <w:tcW w:w="810" w:type="dxa"/>
            <w:vMerge/>
          </w:tcPr>
          <w:p w:rsidR="00765A3D" w:rsidRDefault="00765A3D">
            <w:pPr>
              <w:widowControl w:val="0"/>
              <w:rPr>
                <w:szCs w:val="24"/>
              </w:rPr>
            </w:pPr>
          </w:p>
        </w:tc>
      </w:tr>
    </w:tbl>
    <w:p w:rsidR="00765A3D" w:rsidRDefault="00765A3D">
      <w:pPr>
        <w:shd w:val="clear" w:color="auto" w:fill="FFFFFF"/>
        <w:ind w:firstLine="720"/>
        <w:jc w:val="both"/>
        <w:rPr>
          <w:szCs w:val="24"/>
        </w:rPr>
      </w:pPr>
    </w:p>
    <w:p w:rsidR="00765A3D" w:rsidRDefault="006A5ACA">
      <w:pPr>
        <w:shd w:val="clear" w:color="auto" w:fill="FFFFFF"/>
        <w:ind w:firstLine="720"/>
        <w:jc w:val="both"/>
        <w:rPr>
          <w:szCs w:val="24"/>
        </w:rPr>
      </w:pPr>
      <w:r>
        <w:rPr>
          <w:szCs w:val="24"/>
        </w:rPr>
        <w:t xml:space="preserve">Table 2 shows the loading factor values resulting from all indicators of each variable. Usefulness, ease of use, risk, trust, and intention </w:t>
      </w:r>
      <w:proofErr w:type="gramStart"/>
      <w:r>
        <w:rPr>
          <w:szCs w:val="24"/>
        </w:rPr>
        <w:t>have</w:t>
      </w:r>
      <w:proofErr w:type="gramEnd"/>
      <w:r>
        <w:rPr>
          <w:szCs w:val="24"/>
        </w:rPr>
        <w:t xml:space="preserve"> loading factor values greater than 0.50 and extracted average variance (AVE) values &gt; 0.50. These indicators can be considered valid as measurements of latent variables. The variables have high reliability, as indicated by CA values and CR &gt; 0.70. Therefore, it can be concluded that all data meet the criteria for the measurement model, and the results of evaluation are shown in Tables 2 and 3.</w:t>
      </w:r>
    </w:p>
    <w:p w:rsidR="00765A3D" w:rsidRDefault="00765A3D">
      <w:pPr>
        <w:shd w:val="clear" w:color="auto" w:fill="FFFFFF"/>
        <w:spacing w:after="120"/>
        <w:jc w:val="center"/>
        <w:rPr>
          <w:b/>
          <w:szCs w:val="24"/>
        </w:rPr>
      </w:pPr>
    </w:p>
    <w:p w:rsidR="00765A3D" w:rsidRDefault="006A5ACA">
      <w:pPr>
        <w:shd w:val="clear" w:color="auto" w:fill="FFFFFF"/>
        <w:spacing w:after="120"/>
        <w:jc w:val="center"/>
        <w:rPr>
          <w:b/>
          <w:szCs w:val="24"/>
        </w:rPr>
      </w:pPr>
      <w:proofErr w:type="gramStart"/>
      <w:r>
        <w:rPr>
          <w:b/>
          <w:szCs w:val="24"/>
        </w:rPr>
        <w:t>Table 3.</w:t>
      </w:r>
      <w:proofErr w:type="gramEnd"/>
      <w:r>
        <w:rPr>
          <w:b/>
          <w:szCs w:val="24"/>
        </w:rPr>
        <w:t xml:space="preserve"> Discriminant Validity (</w:t>
      </w:r>
      <w:proofErr w:type="spellStart"/>
      <w:r>
        <w:rPr>
          <w:b/>
          <w:szCs w:val="24"/>
        </w:rPr>
        <w:t>Fornell-Larcker</w:t>
      </w:r>
      <w:proofErr w:type="spellEnd"/>
      <w:r>
        <w:rPr>
          <w:b/>
          <w:szCs w:val="24"/>
        </w:rPr>
        <w:t>) Analysis</w:t>
      </w:r>
    </w:p>
    <w:tbl>
      <w:tblPr>
        <w:tblStyle w:val="Style21"/>
        <w:tblW w:w="5760" w:type="dxa"/>
        <w:tblInd w:w="1525" w:type="dxa"/>
        <w:tblLayout w:type="fixed"/>
        <w:tblLook w:val="04A0" w:firstRow="1" w:lastRow="0" w:firstColumn="1" w:lastColumn="0" w:noHBand="0" w:noVBand="1"/>
      </w:tblPr>
      <w:tblGrid>
        <w:gridCol w:w="960"/>
        <w:gridCol w:w="960"/>
        <w:gridCol w:w="960"/>
        <w:gridCol w:w="960"/>
        <w:gridCol w:w="960"/>
        <w:gridCol w:w="960"/>
      </w:tblGrid>
      <w:tr w:rsidR="00765A3D">
        <w:trPr>
          <w:trHeight w:val="315"/>
        </w:trPr>
        <w:tc>
          <w:tcPr>
            <w:tcW w:w="96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 </w:t>
            </w:r>
          </w:p>
        </w:tc>
        <w:tc>
          <w:tcPr>
            <w:tcW w:w="96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INT</w:t>
            </w:r>
          </w:p>
        </w:tc>
        <w:tc>
          <w:tcPr>
            <w:tcW w:w="96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PEOU</w:t>
            </w:r>
          </w:p>
        </w:tc>
        <w:tc>
          <w:tcPr>
            <w:tcW w:w="96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PR</w:t>
            </w:r>
          </w:p>
        </w:tc>
        <w:tc>
          <w:tcPr>
            <w:tcW w:w="96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PU</w:t>
            </w:r>
          </w:p>
        </w:tc>
        <w:tc>
          <w:tcPr>
            <w:tcW w:w="96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TR</w:t>
            </w:r>
          </w:p>
        </w:tc>
      </w:tr>
      <w:tr w:rsidR="00765A3D">
        <w:trPr>
          <w:trHeight w:val="315"/>
        </w:trPr>
        <w:tc>
          <w:tcPr>
            <w:tcW w:w="960" w:type="dxa"/>
            <w:tcBorders>
              <w:top w:val="nil"/>
              <w:left w:val="nil"/>
              <w:bottom w:val="nil"/>
              <w:right w:val="nil"/>
            </w:tcBorders>
            <w:shd w:val="clear" w:color="auto" w:fill="auto"/>
            <w:vAlign w:val="center"/>
          </w:tcPr>
          <w:p w:rsidR="00765A3D" w:rsidRDefault="006A5ACA">
            <w:pPr>
              <w:rPr>
                <w:szCs w:val="24"/>
              </w:rPr>
            </w:pPr>
            <w:r>
              <w:rPr>
                <w:szCs w:val="24"/>
              </w:rPr>
              <w:t>INT</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0.897</w:t>
            </w:r>
          </w:p>
        </w:tc>
        <w:tc>
          <w:tcPr>
            <w:tcW w:w="960" w:type="dxa"/>
            <w:tcBorders>
              <w:top w:val="nil"/>
              <w:left w:val="nil"/>
              <w:bottom w:val="nil"/>
              <w:right w:val="nil"/>
            </w:tcBorders>
            <w:shd w:val="clear" w:color="auto" w:fill="auto"/>
            <w:vAlign w:val="center"/>
          </w:tcPr>
          <w:p w:rsidR="00765A3D" w:rsidRDefault="00765A3D">
            <w:pPr>
              <w:rPr>
                <w:szCs w:val="24"/>
              </w:rPr>
            </w:pPr>
          </w:p>
        </w:tc>
        <w:tc>
          <w:tcPr>
            <w:tcW w:w="960" w:type="dxa"/>
            <w:tcBorders>
              <w:top w:val="nil"/>
              <w:left w:val="nil"/>
              <w:bottom w:val="nil"/>
              <w:right w:val="nil"/>
            </w:tcBorders>
            <w:shd w:val="clear" w:color="auto" w:fill="auto"/>
            <w:vAlign w:val="center"/>
          </w:tcPr>
          <w:p w:rsidR="00765A3D" w:rsidRDefault="00765A3D">
            <w:pPr>
              <w:rPr>
                <w:szCs w:val="24"/>
              </w:rPr>
            </w:pPr>
          </w:p>
        </w:tc>
        <w:tc>
          <w:tcPr>
            <w:tcW w:w="960" w:type="dxa"/>
            <w:tcBorders>
              <w:top w:val="nil"/>
              <w:left w:val="nil"/>
              <w:bottom w:val="nil"/>
              <w:right w:val="nil"/>
            </w:tcBorders>
            <w:shd w:val="clear" w:color="auto" w:fill="auto"/>
            <w:vAlign w:val="center"/>
          </w:tcPr>
          <w:p w:rsidR="00765A3D" w:rsidRDefault="00765A3D">
            <w:pPr>
              <w:rPr>
                <w:szCs w:val="24"/>
              </w:rPr>
            </w:pPr>
          </w:p>
        </w:tc>
        <w:tc>
          <w:tcPr>
            <w:tcW w:w="960" w:type="dxa"/>
            <w:tcBorders>
              <w:top w:val="nil"/>
              <w:left w:val="nil"/>
              <w:bottom w:val="nil"/>
              <w:right w:val="nil"/>
            </w:tcBorders>
            <w:shd w:val="clear" w:color="auto" w:fill="auto"/>
            <w:vAlign w:val="center"/>
          </w:tcPr>
          <w:p w:rsidR="00765A3D" w:rsidRDefault="00765A3D">
            <w:pPr>
              <w:rPr>
                <w:szCs w:val="24"/>
              </w:rPr>
            </w:pPr>
          </w:p>
        </w:tc>
      </w:tr>
      <w:tr w:rsidR="00765A3D">
        <w:trPr>
          <w:trHeight w:val="300"/>
        </w:trPr>
        <w:tc>
          <w:tcPr>
            <w:tcW w:w="960" w:type="dxa"/>
            <w:tcBorders>
              <w:top w:val="nil"/>
              <w:left w:val="nil"/>
              <w:bottom w:val="nil"/>
              <w:right w:val="nil"/>
            </w:tcBorders>
            <w:shd w:val="clear" w:color="auto" w:fill="auto"/>
            <w:vAlign w:val="center"/>
          </w:tcPr>
          <w:p w:rsidR="00765A3D" w:rsidRDefault="006A5ACA">
            <w:pPr>
              <w:rPr>
                <w:szCs w:val="24"/>
              </w:rPr>
            </w:pPr>
            <w:r>
              <w:rPr>
                <w:szCs w:val="24"/>
              </w:rPr>
              <w:lastRenderedPageBreak/>
              <w:t>PEOU</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0.627</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0.957</w:t>
            </w:r>
          </w:p>
        </w:tc>
        <w:tc>
          <w:tcPr>
            <w:tcW w:w="960" w:type="dxa"/>
            <w:tcBorders>
              <w:top w:val="nil"/>
              <w:left w:val="nil"/>
              <w:bottom w:val="nil"/>
              <w:right w:val="nil"/>
            </w:tcBorders>
            <w:shd w:val="clear" w:color="auto" w:fill="auto"/>
            <w:vAlign w:val="center"/>
          </w:tcPr>
          <w:p w:rsidR="00765A3D" w:rsidRDefault="00765A3D">
            <w:pPr>
              <w:rPr>
                <w:szCs w:val="24"/>
              </w:rPr>
            </w:pPr>
          </w:p>
        </w:tc>
        <w:tc>
          <w:tcPr>
            <w:tcW w:w="960" w:type="dxa"/>
            <w:tcBorders>
              <w:top w:val="nil"/>
              <w:left w:val="nil"/>
              <w:bottom w:val="nil"/>
              <w:right w:val="nil"/>
            </w:tcBorders>
            <w:shd w:val="clear" w:color="auto" w:fill="auto"/>
            <w:vAlign w:val="center"/>
          </w:tcPr>
          <w:p w:rsidR="00765A3D" w:rsidRDefault="00765A3D">
            <w:pPr>
              <w:rPr>
                <w:szCs w:val="24"/>
              </w:rPr>
            </w:pPr>
          </w:p>
        </w:tc>
        <w:tc>
          <w:tcPr>
            <w:tcW w:w="960" w:type="dxa"/>
            <w:tcBorders>
              <w:top w:val="nil"/>
              <w:left w:val="nil"/>
              <w:bottom w:val="nil"/>
              <w:right w:val="nil"/>
            </w:tcBorders>
            <w:shd w:val="clear" w:color="auto" w:fill="auto"/>
            <w:vAlign w:val="center"/>
          </w:tcPr>
          <w:p w:rsidR="00765A3D" w:rsidRDefault="00765A3D">
            <w:pPr>
              <w:rPr>
                <w:szCs w:val="24"/>
              </w:rPr>
            </w:pPr>
          </w:p>
        </w:tc>
      </w:tr>
      <w:tr w:rsidR="00765A3D">
        <w:trPr>
          <w:trHeight w:val="300"/>
        </w:trPr>
        <w:tc>
          <w:tcPr>
            <w:tcW w:w="960" w:type="dxa"/>
            <w:tcBorders>
              <w:top w:val="nil"/>
              <w:left w:val="nil"/>
              <w:bottom w:val="nil"/>
              <w:right w:val="nil"/>
            </w:tcBorders>
            <w:shd w:val="clear" w:color="auto" w:fill="auto"/>
            <w:vAlign w:val="center"/>
          </w:tcPr>
          <w:p w:rsidR="00765A3D" w:rsidRDefault="006A5ACA">
            <w:pPr>
              <w:rPr>
                <w:szCs w:val="24"/>
              </w:rPr>
            </w:pPr>
            <w:r>
              <w:rPr>
                <w:szCs w:val="24"/>
              </w:rPr>
              <w:t>PR</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0.384</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0.373</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0.865</w:t>
            </w:r>
          </w:p>
        </w:tc>
        <w:tc>
          <w:tcPr>
            <w:tcW w:w="960" w:type="dxa"/>
            <w:tcBorders>
              <w:top w:val="nil"/>
              <w:left w:val="nil"/>
              <w:bottom w:val="nil"/>
              <w:right w:val="nil"/>
            </w:tcBorders>
            <w:shd w:val="clear" w:color="auto" w:fill="auto"/>
            <w:vAlign w:val="center"/>
          </w:tcPr>
          <w:p w:rsidR="00765A3D" w:rsidRDefault="00765A3D">
            <w:pPr>
              <w:rPr>
                <w:szCs w:val="24"/>
              </w:rPr>
            </w:pPr>
          </w:p>
        </w:tc>
        <w:tc>
          <w:tcPr>
            <w:tcW w:w="960" w:type="dxa"/>
            <w:tcBorders>
              <w:top w:val="nil"/>
              <w:left w:val="nil"/>
              <w:bottom w:val="nil"/>
              <w:right w:val="nil"/>
            </w:tcBorders>
            <w:shd w:val="clear" w:color="auto" w:fill="auto"/>
            <w:vAlign w:val="center"/>
          </w:tcPr>
          <w:p w:rsidR="00765A3D" w:rsidRDefault="00765A3D">
            <w:pPr>
              <w:rPr>
                <w:szCs w:val="24"/>
              </w:rPr>
            </w:pPr>
          </w:p>
        </w:tc>
      </w:tr>
      <w:tr w:rsidR="00765A3D">
        <w:trPr>
          <w:trHeight w:val="315"/>
        </w:trPr>
        <w:tc>
          <w:tcPr>
            <w:tcW w:w="960" w:type="dxa"/>
            <w:tcBorders>
              <w:top w:val="nil"/>
              <w:left w:val="nil"/>
              <w:bottom w:val="nil"/>
              <w:right w:val="nil"/>
            </w:tcBorders>
            <w:shd w:val="clear" w:color="auto" w:fill="auto"/>
            <w:vAlign w:val="center"/>
          </w:tcPr>
          <w:p w:rsidR="00765A3D" w:rsidRDefault="006A5ACA">
            <w:pPr>
              <w:rPr>
                <w:szCs w:val="24"/>
              </w:rPr>
            </w:pPr>
            <w:r>
              <w:rPr>
                <w:szCs w:val="24"/>
              </w:rPr>
              <w:t>PU</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0.635</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0.716</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0.361</w:t>
            </w:r>
          </w:p>
        </w:tc>
        <w:tc>
          <w:tcPr>
            <w:tcW w:w="960" w:type="dxa"/>
            <w:tcBorders>
              <w:top w:val="nil"/>
              <w:left w:val="nil"/>
              <w:bottom w:val="nil"/>
              <w:right w:val="nil"/>
            </w:tcBorders>
            <w:shd w:val="clear" w:color="auto" w:fill="auto"/>
            <w:vAlign w:val="center"/>
          </w:tcPr>
          <w:p w:rsidR="00765A3D" w:rsidRDefault="006A5ACA">
            <w:pPr>
              <w:jc w:val="right"/>
              <w:rPr>
                <w:szCs w:val="24"/>
              </w:rPr>
            </w:pPr>
            <w:r>
              <w:rPr>
                <w:szCs w:val="24"/>
              </w:rPr>
              <w:t>0.903</w:t>
            </w:r>
          </w:p>
        </w:tc>
        <w:tc>
          <w:tcPr>
            <w:tcW w:w="960" w:type="dxa"/>
            <w:tcBorders>
              <w:top w:val="nil"/>
              <w:left w:val="nil"/>
              <w:bottom w:val="nil"/>
              <w:right w:val="nil"/>
            </w:tcBorders>
            <w:shd w:val="clear" w:color="auto" w:fill="auto"/>
            <w:vAlign w:val="center"/>
          </w:tcPr>
          <w:p w:rsidR="00765A3D" w:rsidRDefault="00765A3D">
            <w:pPr>
              <w:rPr>
                <w:szCs w:val="24"/>
              </w:rPr>
            </w:pPr>
          </w:p>
        </w:tc>
      </w:tr>
      <w:tr w:rsidR="00765A3D">
        <w:trPr>
          <w:trHeight w:val="315"/>
        </w:trPr>
        <w:tc>
          <w:tcPr>
            <w:tcW w:w="960" w:type="dxa"/>
            <w:tcBorders>
              <w:top w:val="nil"/>
              <w:left w:val="nil"/>
              <w:bottom w:val="single" w:sz="4" w:space="0" w:color="000000"/>
              <w:right w:val="nil"/>
            </w:tcBorders>
            <w:shd w:val="clear" w:color="auto" w:fill="auto"/>
            <w:vAlign w:val="center"/>
          </w:tcPr>
          <w:p w:rsidR="00765A3D" w:rsidRDefault="006A5ACA">
            <w:pPr>
              <w:rPr>
                <w:szCs w:val="24"/>
              </w:rPr>
            </w:pPr>
            <w:r>
              <w:rPr>
                <w:szCs w:val="24"/>
              </w:rPr>
              <w:t>TR</w:t>
            </w:r>
          </w:p>
        </w:tc>
        <w:tc>
          <w:tcPr>
            <w:tcW w:w="960" w:type="dxa"/>
            <w:tcBorders>
              <w:top w:val="nil"/>
              <w:left w:val="nil"/>
              <w:bottom w:val="single" w:sz="4" w:space="0" w:color="000000"/>
              <w:right w:val="nil"/>
            </w:tcBorders>
            <w:shd w:val="clear" w:color="auto" w:fill="auto"/>
            <w:vAlign w:val="center"/>
          </w:tcPr>
          <w:p w:rsidR="00765A3D" w:rsidRDefault="006A5ACA">
            <w:pPr>
              <w:jc w:val="right"/>
              <w:rPr>
                <w:szCs w:val="24"/>
              </w:rPr>
            </w:pPr>
            <w:r>
              <w:rPr>
                <w:szCs w:val="24"/>
              </w:rPr>
              <w:t>0.653</w:t>
            </w:r>
          </w:p>
        </w:tc>
        <w:tc>
          <w:tcPr>
            <w:tcW w:w="960" w:type="dxa"/>
            <w:tcBorders>
              <w:top w:val="nil"/>
              <w:left w:val="nil"/>
              <w:bottom w:val="single" w:sz="4" w:space="0" w:color="000000"/>
              <w:right w:val="nil"/>
            </w:tcBorders>
            <w:shd w:val="clear" w:color="auto" w:fill="auto"/>
            <w:vAlign w:val="center"/>
          </w:tcPr>
          <w:p w:rsidR="00765A3D" w:rsidRDefault="006A5ACA">
            <w:pPr>
              <w:jc w:val="right"/>
              <w:rPr>
                <w:szCs w:val="24"/>
              </w:rPr>
            </w:pPr>
            <w:r>
              <w:rPr>
                <w:szCs w:val="24"/>
              </w:rPr>
              <w:t>0.679</w:t>
            </w:r>
          </w:p>
        </w:tc>
        <w:tc>
          <w:tcPr>
            <w:tcW w:w="960" w:type="dxa"/>
            <w:tcBorders>
              <w:top w:val="nil"/>
              <w:left w:val="nil"/>
              <w:bottom w:val="single" w:sz="4" w:space="0" w:color="000000"/>
              <w:right w:val="nil"/>
            </w:tcBorders>
            <w:shd w:val="clear" w:color="auto" w:fill="auto"/>
            <w:vAlign w:val="center"/>
          </w:tcPr>
          <w:p w:rsidR="00765A3D" w:rsidRDefault="006A5ACA">
            <w:pPr>
              <w:jc w:val="right"/>
              <w:rPr>
                <w:szCs w:val="24"/>
              </w:rPr>
            </w:pPr>
            <w:r>
              <w:rPr>
                <w:szCs w:val="24"/>
              </w:rPr>
              <w:t>0.379</w:t>
            </w:r>
          </w:p>
        </w:tc>
        <w:tc>
          <w:tcPr>
            <w:tcW w:w="960" w:type="dxa"/>
            <w:tcBorders>
              <w:top w:val="nil"/>
              <w:left w:val="nil"/>
              <w:bottom w:val="single" w:sz="4" w:space="0" w:color="000000"/>
              <w:right w:val="nil"/>
            </w:tcBorders>
            <w:shd w:val="clear" w:color="auto" w:fill="auto"/>
            <w:vAlign w:val="center"/>
          </w:tcPr>
          <w:p w:rsidR="00765A3D" w:rsidRDefault="006A5ACA">
            <w:pPr>
              <w:jc w:val="right"/>
              <w:rPr>
                <w:szCs w:val="24"/>
              </w:rPr>
            </w:pPr>
            <w:r>
              <w:rPr>
                <w:szCs w:val="24"/>
              </w:rPr>
              <w:t>0.754</w:t>
            </w:r>
          </w:p>
        </w:tc>
        <w:tc>
          <w:tcPr>
            <w:tcW w:w="960" w:type="dxa"/>
            <w:tcBorders>
              <w:top w:val="nil"/>
              <w:left w:val="nil"/>
              <w:bottom w:val="single" w:sz="4" w:space="0" w:color="000000"/>
              <w:right w:val="nil"/>
            </w:tcBorders>
            <w:shd w:val="clear" w:color="auto" w:fill="auto"/>
            <w:vAlign w:val="center"/>
          </w:tcPr>
          <w:p w:rsidR="00765A3D" w:rsidRDefault="006A5ACA">
            <w:pPr>
              <w:jc w:val="right"/>
              <w:rPr>
                <w:szCs w:val="24"/>
              </w:rPr>
            </w:pPr>
            <w:r>
              <w:rPr>
                <w:szCs w:val="24"/>
              </w:rPr>
              <w:t>0.924</w:t>
            </w:r>
          </w:p>
        </w:tc>
      </w:tr>
    </w:tbl>
    <w:p w:rsidR="00765A3D" w:rsidRDefault="00765A3D">
      <w:pPr>
        <w:shd w:val="clear" w:color="auto" w:fill="FFFFFF"/>
        <w:rPr>
          <w:b/>
          <w:szCs w:val="24"/>
        </w:rPr>
      </w:pPr>
    </w:p>
    <w:p w:rsidR="00765A3D" w:rsidRDefault="006A5ACA">
      <w:pPr>
        <w:shd w:val="clear" w:color="auto" w:fill="FFFFFF"/>
        <w:rPr>
          <w:szCs w:val="24"/>
        </w:rPr>
      </w:pPr>
      <w:r>
        <w:rPr>
          <w:b/>
          <w:szCs w:val="24"/>
        </w:rPr>
        <w:t>Evaluation of Inner Model</w:t>
      </w:r>
    </w:p>
    <w:p w:rsidR="00765A3D" w:rsidRDefault="006A5ACA">
      <w:pPr>
        <w:shd w:val="clear" w:color="auto" w:fill="FFFFFF"/>
        <w:ind w:firstLine="720"/>
        <w:jc w:val="both"/>
        <w:rPr>
          <w:szCs w:val="24"/>
        </w:rPr>
      </w:pPr>
      <w:r>
        <w:rPr>
          <w:szCs w:val="24"/>
        </w:rPr>
        <w:t>After evaluating the measurement or outer model, structural model evaluation is conducted to test the relationship between variables. The relationship is measured by analyzing the path coefficient values of each variable. Furthermore, the obtained path coefficient values from the structural model evaluation are used to test the hypotheses. To determine the acceptance or rejection of the hypothesis, the significance values between constructs, t-statistics, and p-values are considered. The rules of thumb used are t-statistics &gt;1.96, significance level p-value 0.05 (5%), and a positive beta coefficient. The relationships between variables are considered positive and significant when the t-statistics &gt;1.96, the p-value &lt;0.05, and the beta coefficient is positive.</w:t>
      </w:r>
    </w:p>
    <w:p w:rsidR="00765A3D" w:rsidRDefault="00765A3D">
      <w:pPr>
        <w:shd w:val="clear" w:color="auto" w:fill="FFFFFF"/>
        <w:jc w:val="both"/>
        <w:rPr>
          <w:szCs w:val="24"/>
        </w:rPr>
      </w:pPr>
    </w:p>
    <w:p w:rsidR="00765A3D" w:rsidRDefault="006A5ACA">
      <w:pPr>
        <w:shd w:val="clear" w:color="auto" w:fill="FFFFFF"/>
        <w:jc w:val="both"/>
        <w:rPr>
          <w:b/>
          <w:szCs w:val="24"/>
        </w:rPr>
      </w:pPr>
      <w:r>
        <w:rPr>
          <w:b/>
          <w:szCs w:val="24"/>
        </w:rPr>
        <w:t>Accuracy and Predictive Relevance</w:t>
      </w:r>
    </w:p>
    <w:p w:rsidR="00B64EDD" w:rsidRDefault="006A5ACA" w:rsidP="007105B6">
      <w:pPr>
        <w:shd w:val="clear" w:color="auto" w:fill="FFFFFF"/>
        <w:ind w:firstLine="720"/>
        <w:jc w:val="both"/>
        <w:rPr>
          <w:szCs w:val="24"/>
        </w:rPr>
      </w:pPr>
      <w:bookmarkStart w:id="0" w:name="_heading=h.1y810tw" w:colFirst="0" w:colLast="0"/>
      <w:bookmarkEnd w:id="0"/>
      <w:r>
        <w:rPr>
          <w:szCs w:val="24"/>
        </w:rPr>
        <w:t xml:space="preserve">This study used accuracy and predictive relevance to determine how independent variables affect the dependent. Meanwhile, R2 and Q2 values must be measured to determine the prediction level of variables. To find the Q2 value in Smart PLS, an additional step is needed by using the blindfolding calculation (Q2 = 1-SSE/SSO). It can be stated that the model has predictive relevance when the Q2 value is &gt; 0. Conversely, when the Q2 value is &lt; 0, the model has no predictive relevance. Variables with R2 values of 0.75, 0.50, and 0.25 can be stated to have strong, moderate, and weak analytical degrees, respectively </w:t>
      </w:r>
      <w:r w:rsidR="00DB3A11">
        <w:rPr>
          <w:szCs w:val="24"/>
        </w:rPr>
        <w:fldChar w:fldCharType="begin" w:fldLock="1"/>
      </w:r>
      <w:r w:rsidR="00DB3A11">
        <w:rPr>
          <w:szCs w:val="24"/>
        </w:rPr>
        <w:instrText>ADDIN CSL_CITATION {"citationItems":[{"id":"ITEM-1","itemData":{"DOI":"10.2753/MTP1069-6679190202","ISSN":"1069-6679","author":[{"dropping-particle":"","family":"Hair","given":"Joe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Practice","id":"ITEM-1","issue":"2","issued":{"date-parts":[["2011","4","1"]]},"note":"doi: 10.2753/MTP1069-6679190202","page":"139-152","publisher":"Routledge","title":"PLS-SEM: Indeed a Silver Bullet","type":"article-journal","volume":"19"},"uris":["http://www.mendeley.com/documents/?uuid=c5ca7cff-e4bd-46a6-a31d-c38d2d19e382"]}],"mendeley":{"formattedCitation":"(Hair et al., 2011)","plainTextFormattedCitation":"(Hair et al., 2011)","previouslyFormattedCitation":"(Hair et al., 2011)"},"properties":{"noteIndex":0},"schema":"https://github.com/citation-style-language/schema/raw/master/csl-citation.json"}</w:instrText>
      </w:r>
      <w:r w:rsidR="00DB3A11">
        <w:rPr>
          <w:szCs w:val="24"/>
        </w:rPr>
        <w:fldChar w:fldCharType="separate"/>
      </w:r>
      <w:r w:rsidR="00DB3A11" w:rsidRPr="00DB3A11">
        <w:rPr>
          <w:noProof/>
          <w:szCs w:val="24"/>
        </w:rPr>
        <w:t>(Hair et al., 2011)</w:t>
      </w:r>
      <w:r w:rsidR="00DB3A11">
        <w:rPr>
          <w:szCs w:val="24"/>
        </w:rPr>
        <w:fldChar w:fldCharType="end"/>
      </w:r>
      <w:r w:rsidR="007105B6">
        <w:rPr>
          <w:szCs w:val="24"/>
        </w:rPr>
        <w:t>.</w:t>
      </w:r>
      <w:r w:rsidR="00DB3A11">
        <w:rPr>
          <w:szCs w:val="24"/>
        </w:rPr>
        <w:t xml:space="preserve"> </w:t>
      </w:r>
    </w:p>
    <w:p w:rsidR="00B64EDD" w:rsidRDefault="00B64EDD">
      <w:pPr>
        <w:shd w:val="clear" w:color="auto" w:fill="FFFFFF"/>
        <w:ind w:firstLine="720"/>
        <w:jc w:val="both"/>
        <w:rPr>
          <w:szCs w:val="24"/>
        </w:rPr>
      </w:pPr>
    </w:p>
    <w:p w:rsidR="00765A3D" w:rsidRDefault="006A5ACA">
      <w:pPr>
        <w:jc w:val="center"/>
        <w:rPr>
          <w:szCs w:val="24"/>
        </w:rPr>
      </w:pPr>
      <w:proofErr w:type="gramStart"/>
      <w:r>
        <w:rPr>
          <w:b/>
          <w:szCs w:val="24"/>
        </w:rPr>
        <w:t>Table 3.</w:t>
      </w:r>
      <w:proofErr w:type="gramEnd"/>
      <w:r>
        <w:rPr>
          <w:b/>
          <w:szCs w:val="24"/>
        </w:rPr>
        <w:t xml:space="preserve"> Predictive and Accuracy</w:t>
      </w:r>
    </w:p>
    <w:tbl>
      <w:tblPr>
        <w:tblStyle w:val="Style22"/>
        <w:tblW w:w="5700" w:type="dxa"/>
        <w:tblInd w:w="1563" w:type="dxa"/>
        <w:tblLayout w:type="fixed"/>
        <w:tblLook w:val="04A0" w:firstRow="1" w:lastRow="0" w:firstColumn="1" w:lastColumn="0" w:noHBand="0" w:noVBand="1"/>
      </w:tblPr>
      <w:tblGrid>
        <w:gridCol w:w="960"/>
        <w:gridCol w:w="1360"/>
        <w:gridCol w:w="2420"/>
        <w:gridCol w:w="960"/>
      </w:tblGrid>
      <w:tr w:rsidR="00765A3D">
        <w:trPr>
          <w:trHeight w:val="315"/>
        </w:trPr>
        <w:tc>
          <w:tcPr>
            <w:tcW w:w="960" w:type="dxa"/>
            <w:tcBorders>
              <w:top w:val="single" w:sz="4" w:space="0" w:color="000000"/>
              <w:left w:val="nil"/>
              <w:bottom w:val="single" w:sz="4" w:space="0" w:color="000000"/>
              <w:right w:val="nil"/>
            </w:tcBorders>
            <w:shd w:val="clear" w:color="auto" w:fill="auto"/>
            <w:vAlign w:val="center"/>
          </w:tcPr>
          <w:p w:rsidR="00765A3D" w:rsidRDefault="00765A3D">
            <w:pPr>
              <w:jc w:val="center"/>
              <w:rPr>
                <w:b/>
                <w:szCs w:val="24"/>
              </w:rPr>
            </w:pPr>
          </w:p>
        </w:tc>
        <w:tc>
          <w:tcPr>
            <w:tcW w:w="1360" w:type="dxa"/>
            <w:tcBorders>
              <w:top w:val="single" w:sz="4" w:space="0" w:color="000000"/>
              <w:left w:val="nil"/>
              <w:bottom w:val="single" w:sz="4" w:space="0" w:color="000000"/>
              <w:right w:val="nil"/>
            </w:tcBorders>
            <w:shd w:val="clear" w:color="auto" w:fill="auto"/>
            <w:vAlign w:val="center"/>
          </w:tcPr>
          <w:p w:rsidR="00765A3D" w:rsidRDefault="006A5ACA">
            <w:pPr>
              <w:jc w:val="center"/>
              <w:rPr>
                <w:b/>
                <w:szCs w:val="24"/>
              </w:rPr>
            </w:pPr>
            <w:r>
              <w:rPr>
                <w:b/>
                <w:szCs w:val="24"/>
              </w:rPr>
              <w:t>R Square (R</w:t>
            </w:r>
            <w:r>
              <w:rPr>
                <w:b/>
                <w:szCs w:val="24"/>
                <w:vertAlign w:val="superscript"/>
              </w:rPr>
              <w:t>2</w:t>
            </w:r>
            <w:r>
              <w:rPr>
                <w:b/>
                <w:szCs w:val="24"/>
              </w:rPr>
              <w:t>)</w:t>
            </w:r>
          </w:p>
        </w:tc>
        <w:tc>
          <w:tcPr>
            <w:tcW w:w="2420" w:type="dxa"/>
            <w:tcBorders>
              <w:top w:val="single" w:sz="4" w:space="0" w:color="000000"/>
              <w:left w:val="nil"/>
              <w:bottom w:val="single" w:sz="4" w:space="0" w:color="000000"/>
              <w:right w:val="nil"/>
            </w:tcBorders>
            <w:shd w:val="clear" w:color="auto" w:fill="auto"/>
            <w:vAlign w:val="center"/>
          </w:tcPr>
          <w:p w:rsidR="00765A3D" w:rsidRDefault="006A5ACA">
            <w:pPr>
              <w:jc w:val="center"/>
              <w:rPr>
                <w:b/>
                <w:szCs w:val="24"/>
              </w:rPr>
            </w:pPr>
            <w:r>
              <w:rPr>
                <w:b/>
                <w:szCs w:val="24"/>
              </w:rPr>
              <w:t>R Square (R</w:t>
            </w:r>
            <w:r>
              <w:rPr>
                <w:b/>
                <w:szCs w:val="24"/>
                <w:vertAlign w:val="superscript"/>
              </w:rPr>
              <w:t>2</w:t>
            </w:r>
            <w:r>
              <w:rPr>
                <w:b/>
                <w:szCs w:val="24"/>
              </w:rPr>
              <w:t>) Adjusted</w:t>
            </w:r>
          </w:p>
        </w:tc>
        <w:tc>
          <w:tcPr>
            <w:tcW w:w="960" w:type="dxa"/>
            <w:tcBorders>
              <w:top w:val="single" w:sz="4" w:space="0" w:color="000000"/>
              <w:left w:val="nil"/>
              <w:bottom w:val="single" w:sz="4" w:space="0" w:color="000000"/>
              <w:right w:val="nil"/>
            </w:tcBorders>
            <w:shd w:val="clear" w:color="auto" w:fill="auto"/>
            <w:vAlign w:val="bottom"/>
          </w:tcPr>
          <w:p w:rsidR="00765A3D" w:rsidRDefault="006A5ACA">
            <w:pPr>
              <w:jc w:val="center"/>
              <w:rPr>
                <w:b/>
                <w:szCs w:val="24"/>
              </w:rPr>
            </w:pPr>
            <w:r>
              <w:rPr>
                <w:b/>
                <w:szCs w:val="24"/>
              </w:rPr>
              <w:t>Q2</w:t>
            </w:r>
          </w:p>
        </w:tc>
      </w:tr>
      <w:tr w:rsidR="00765A3D">
        <w:trPr>
          <w:trHeight w:val="300"/>
        </w:trPr>
        <w:tc>
          <w:tcPr>
            <w:tcW w:w="960" w:type="dxa"/>
            <w:tcBorders>
              <w:top w:val="nil"/>
              <w:left w:val="nil"/>
              <w:bottom w:val="nil"/>
              <w:right w:val="nil"/>
            </w:tcBorders>
            <w:shd w:val="clear" w:color="auto" w:fill="auto"/>
            <w:vAlign w:val="center"/>
          </w:tcPr>
          <w:p w:rsidR="00765A3D" w:rsidRDefault="006A5ACA">
            <w:pPr>
              <w:jc w:val="center"/>
              <w:rPr>
                <w:b/>
                <w:szCs w:val="24"/>
              </w:rPr>
            </w:pPr>
            <w:r>
              <w:rPr>
                <w:b/>
                <w:szCs w:val="24"/>
              </w:rPr>
              <w:t>INT</w:t>
            </w:r>
          </w:p>
        </w:tc>
        <w:tc>
          <w:tcPr>
            <w:tcW w:w="1360" w:type="dxa"/>
            <w:tcBorders>
              <w:top w:val="nil"/>
              <w:left w:val="nil"/>
              <w:bottom w:val="nil"/>
              <w:right w:val="nil"/>
            </w:tcBorders>
            <w:shd w:val="clear" w:color="auto" w:fill="auto"/>
            <w:vAlign w:val="center"/>
          </w:tcPr>
          <w:p w:rsidR="00765A3D" w:rsidRDefault="006A5ACA">
            <w:pPr>
              <w:jc w:val="center"/>
              <w:rPr>
                <w:szCs w:val="24"/>
              </w:rPr>
            </w:pPr>
            <w:r>
              <w:rPr>
                <w:szCs w:val="24"/>
              </w:rPr>
              <w:t>0.514</w:t>
            </w:r>
          </w:p>
        </w:tc>
        <w:tc>
          <w:tcPr>
            <w:tcW w:w="2420" w:type="dxa"/>
            <w:tcBorders>
              <w:top w:val="nil"/>
              <w:left w:val="nil"/>
              <w:bottom w:val="nil"/>
              <w:right w:val="nil"/>
            </w:tcBorders>
            <w:shd w:val="clear" w:color="auto" w:fill="auto"/>
            <w:vAlign w:val="center"/>
          </w:tcPr>
          <w:p w:rsidR="00765A3D" w:rsidRDefault="006A5ACA">
            <w:pPr>
              <w:jc w:val="center"/>
              <w:rPr>
                <w:szCs w:val="24"/>
              </w:rPr>
            </w:pPr>
            <w:r>
              <w:rPr>
                <w:szCs w:val="24"/>
              </w:rPr>
              <w:t>0.507</w:t>
            </w:r>
          </w:p>
        </w:tc>
        <w:tc>
          <w:tcPr>
            <w:tcW w:w="960" w:type="dxa"/>
            <w:tcBorders>
              <w:top w:val="nil"/>
              <w:left w:val="nil"/>
              <w:bottom w:val="nil"/>
              <w:right w:val="nil"/>
            </w:tcBorders>
            <w:shd w:val="clear" w:color="auto" w:fill="auto"/>
            <w:vAlign w:val="bottom"/>
          </w:tcPr>
          <w:p w:rsidR="00765A3D" w:rsidRDefault="006A5ACA">
            <w:pPr>
              <w:jc w:val="center"/>
              <w:rPr>
                <w:szCs w:val="24"/>
              </w:rPr>
            </w:pPr>
            <w:r>
              <w:rPr>
                <w:szCs w:val="24"/>
              </w:rPr>
              <w:t>0.402</w:t>
            </w:r>
          </w:p>
        </w:tc>
      </w:tr>
      <w:tr w:rsidR="00765A3D">
        <w:trPr>
          <w:trHeight w:val="300"/>
        </w:trPr>
        <w:tc>
          <w:tcPr>
            <w:tcW w:w="960" w:type="dxa"/>
            <w:tcBorders>
              <w:top w:val="nil"/>
              <w:left w:val="nil"/>
              <w:bottom w:val="nil"/>
              <w:right w:val="nil"/>
            </w:tcBorders>
            <w:shd w:val="clear" w:color="auto" w:fill="auto"/>
            <w:vAlign w:val="center"/>
          </w:tcPr>
          <w:p w:rsidR="00765A3D" w:rsidRDefault="006A5ACA">
            <w:pPr>
              <w:jc w:val="center"/>
              <w:rPr>
                <w:b/>
                <w:szCs w:val="24"/>
              </w:rPr>
            </w:pPr>
            <w:r>
              <w:rPr>
                <w:b/>
                <w:szCs w:val="24"/>
              </w:rPr>
              <w:t>PU</w:t>
            </w:r>
          </w:p>
        </w:tc>
        <w:tc>
          <w:tcPr>
            <w:tcW w:w="1360" w:type="dxa"/>
            <w:tcBorders>
              <w:top w:val="nil"/>
              <w:left w:val="nil"/>
              <w:bottom w:val="nil"/>
              <w:right w:val="nil"/>
            </w:tcBorders>
            <w:shd w:val="clear" w:color="auto" w:fill="auto"/>
            <w:vAlign w:val="center"/>
          </w:tcPr>
          <w:p w:rsidR="00765A3D" w:rsidRDefault="006A5ACA">
            <w:pPr>
              <w:jc w:val="center"/>
              <w:rPr>
                <w:szCs w:val="24"/>
              </w:rPr>
            </w:pPr>
            <w:r>
              <w:rPr>
                <w:szCs w:val="24"/>
              </w:rPr>
              <w:t>0.523</w:t>
            </w:r>
          </w:p>
        </w:tc>
        <w:tc>
          <w:tcPr>
            <w:tcW w:w="2420" w:type="dxa"/>
            <w:tcBorders>
              <w:top w:val="nil"/>
              <w:left w:val="nil"/>
              <w:bottom w:val="nil"/>
              <w:right w:val="nil"/>
            </w:tcBorders>
            <w:shd w:val="clear" w:color="auto" w:fill="auto"/>
            <w:vAlign w:val="center"/>
          </w:tcPr>
          <w:p w:rsidR="00765A3D" w:rsidRDefault="006A5ACA">
            <w:pPr>
              <w:jc w:val="center"/>
              <w:rPr>
                <w:szCs w:val="24"/>
              </w:rPr>
            </w:pPr>
            <w:r>
              <w:rPr>
                <w:szCs w:val="24"/>
              </w:rPr>
              <w:t>0.519</w:t>
            </w:r>
          </w:p>
        </w:tc>
        <w:tc>
          <w:tcPr>
            <w:tcW w:w="960" w:type="dxa"/>
            <w:tcBorders>
              <w:top w:val="nil"/>
              <w:left w:val="nil"/>
              <w:bottom w:val="nil"/>
              <w:right w:val="nil"/>
            </w:tcBorders>
            <w:shd w:val="clear" w:color="auto" w:fill="auto"/>
            <w:vAlign w:val="bottom"/>
          </w:tcPr>
          <w:p w:rsidR="00765A3D" w:rsidRDefault="006A5ACA">
            <w:pPr>
              <w:jc w:val="center"/>
              <w:rPr>
                <w:szCs w:val="24"/>
              </w:rPr>
            </w:pPr>
            <w:r>
              <w:rPr>
                <w:szCs w:val="24"/>
              </w:rPr>
              <w:t>0.418</w:t>
            </w:r>
          </w:p>
        </w:tc>
      </w:tr>
      <w:tr w:rsidR="00765A3D">
        <w:trPr>
          <w:trHeight w:val="315"/>
        </w:trPr>
        <w:tc>
          <w:tcPr>
            <w:tcW w:w="960" w:type="dxa"/>
            <w:tcBorders>
              <w:top w:val="nil"/>
              <w:left w:val="nil"/>
              <w:bottom w:val="single" w:sz="4" w:space="0" w:color="000000"/>
              <w:right w:val="nil"/>
            </w:tcBorders>
            <w:shd w:val="clear" w:color="auto" w:fill="auto"/>
            <w:vAlign w:val="center"/>
          </w:tcPr>
          <w:p w:rsidR="00765A3D" w:rsidRDefault="006A5ACA">
            <w:pPr>
              <w:jc w:val="center"/>
              <w:rPr>
                <w:b/>
                <w:szCs w:val="24"/>
              </w:rPr>
            </w:pPr>
            <w:r>
              <w:rPr>
                <w:b/>
                <w:szCs w:val="24"/>
              </w:rPr>
              <w:t>TR</w:t>
            </w:r>
          </w:p>
        </w:tc>
        <w:tc>
          <w:tcPr>
            <w:tcW w:w="1360" w:type="dxa"/>
            <w:tcBorders>
              <w:top w:val="nil"/>
              <w:left w:val="nil"/>
              <w:bottom w:val="single" w:sz="4" w:space="0" w:color="000000"/>
              <w:right w:val="nil"/>
            </w:tcBorders>
            <w:shd w:val="clear" w:color="auto" w:fill="auto"/>
            <w:vAlign w:val="center"/>
          </w:tcPr>
          <w:p w:rsidR="00765A3D" w:rsidRDefault="006A5ACA">
            <w:pPr>
              <w:jc w:val="center"/>
              <w:rPr>
                <w:szCs w:val="24"/>
              </w:rPr>
            </w:pPr>
            <w:r>
              <w:rPr>
                <w:szCs w:val="24"/>
              </w:rPr>
              <w:t>0.608</w:t>
            </w:r>
          </w:p>
        </w:tc>
        <w:tc>
          <w:tcPr>
            <w:tcW w:w="2420" w:type="dxa"/>
            <w:tcBorders>
              <w:top w:val="nil"/>
              <w:left w:val="nil"/>
              <w:bottom w:val="single" w:sz="4" w:space="0" w:color="000000"/>
              <w:right w:val="nil"/>
            </w:tcBorders>
            <w:shd w:val="clear" w:color="auto" w:fill="auto"/>
            <w:vAlign w:val="center"/>
          </w:tcPr>
          <w:p w:rsidR="00765A3D" w:rsidRDefault="006A5ACA">
            <w:pPr>
              <w:jc w:val="center"/>
              <w:rPr>
                <w:szCs w:val="24"/>
              </w:rPr>
            </w:pPr>
            <w:r>
              <w:rPr>
                <w:szCs w:val="24"/>
              </w:rPr>
              <w:t>0.605</w:t>
            </w:r>
          </w:p>
        </w:tc>
        <w:tc>
          <w:tcPr>
            <w:tcW w:w="960" w:type="dxa"/>
            <w:tcBorders>
              <w:top w:val="nil"/>
              <w:left w:val="nil"/>
              <w:bottom w:val="single" w:sz="4" w:space="0" w:color="000000"/>
              <w:right w:val="nil"/>
            </w:tcBorders>
            <w:shd w:val="clear" w:color="auto" w:fill="auto"/>
            <w:vAlign w:val="bottom"/>
          </w:tcPr>
          <w:p w:rsidR="00765A3D" w:rsidRDefault="006A5ACA">
            <w:pPr>
              <w:jc w:val="center"/>
              <w:rPr>
                <w:szCs w:val="24"/>
              </w:rPr>
            </w:pPr>
            <w:r>
              <w:rPr>
                <w:szCs w:val="24"/>
              </w:rPr>
              <w:t>0.512</w:t>
            </w:r>
          </w:p>
        </w:tc>
      </w:tr>
    </w:tbl>
    <w:p w:rsidR="00765A3D" w:rsidRDefault="00765A3D">
      <w:pPr>
        <w:shd w:val="clear" w:color="auto" w:fill="FFFFFF"/>
        <w:jc w:val="both"/>
        <w:rPr>
          <w:szCs w:val="24"/>
        </w:rPr>
      </w:pPr>
    </w:p>
    <w:p w:rsidR="00765A3D" w:rsidRDefault="006A5ACA">
      <w:pPr>
        <w:shd w:val="clear" w:color="auto" w:fill="FFFFFF"/>
        <w:ind w:firstLine="720"/>
        <w:jc w:val="both"/>
        <w:rPr>
          <w:szCs w:val="24"/>
        </w:rPr>
      </w:pPr>
      <w:r>
        <w:rPr>
          <w:szCs w:val="24"/>
        </w:rPr>
        <w:t>The R</w:t>
      </w:r>
      <w:r>
        <w:rPr>
          <w:szCs w:val="24"/>
          <w:vertAlign w:val="superscript"/>
        </w:rPr>
        <w:t>2</w:t>
      </w:r>
      <w:r>
        <w:rPr>
          <w:szCs w:val="24"/>
        </w:rPr>
        <w:t xml:space="preserve"> values indicate a moderate criterion for the proposed model, and a large Q2 value suggests that the empirical study supports the fitness. Specifically, the independent variable of intention has an R</w:t>
      </w:r>
      <w:r>
        <w:rPr>
          <w:szCs w:val="24"/>
          <w:vertAlign w:val="superscript"/>
        </w:rPr>
        <w:t>2</w:t>
      </w:r>
      <w:r>
        <w:rPr>
          <w:szCs w:val="24"/>
        </w:rPr>
        <w:t xml:space="preserve"> value &gt; 0.50, indicating that perceived ease of use, perceived usefulness, perceived risk, and trust are strong predictors of users' intention to adopt M-Banking. The independent variable of usefulness also has an R</w:t>
      </w:r>
      <w:r>
        <w:rPr>
          <w:szCs w:val="24"/>
          <w:vertAlign w:val="superscript"/>
        </w:rPr>
        <w:t>2</w:t>
      </w:r>
      <w:r>
        <w:rPr>
          <w:szCs w:val="24"/>
        </w:rPr>
        <w:t xml:space="preserve"> value &gt; 0.50, indicating that perceived ease of use and risk are strong predictors of usefulness. Additionally, trust has an R</w:t>
      </w:r>
      <w:r>
        <w:rPr>
          <w:szCs w:val="24"/>
          <w:vertAlign w:val="superscript"/>
        </w:rPr>
        <w:t>2</w:t>
      </w:r>
      <w:r>
        <w:rPr>
          <w:szCs w:val="24"/>
        </w:rPr>
        <w:t xml:space="preserve"> value &gt; 0.50, indicating that perceived ease of use and usefulness are strong predictors of trust.</w:t>
      </w:r>
    </w:p>
    <w:p w:rsidR="007105B6" w:rsidRDefault="007105B6">
      <w:pPr>
        <w:shd w:val="clear" w:color="auto" w:fill="FFFFFF"/>
        <w:ind w:firstLine="720"/>
        <w:jc w:val="both"/>
        <w:rPr>
          <w:szCs w:val="24"/>
        </w:rPr>
      </w:pPr>
    </w:p>
    <w:p w:rsidR="007105B6" w:rsidRDefault="007105B6">
      <w:pPr>
        <w:shd w:val="clear" w:color="auto" w:fill="FFFFFF"/>
        <w:ind w:firstLine="720"/>
        <w:jc w:val="both"/>
        <w:rPr>
          <w:szCs w:val="24"/>
        </w:rPr>
      </w:pPr>
    </w:p>
    <w:p w:rsidR="007105B6" w:rsidRDefault="007105B6">
      <w:pPr>
        <w:shd w:val="clear" w:color="auto" w:fill="FFFFFF"/>
        <w:ind w:firstLine="720"/>
        <w:jc w:val="both"/>
        <w:rPr>
          <w:szCs w:val="24"/>
        </w:rPr>
      </w:pPr>
    </w:p>
    <w:p w:rsidR="007105B6" w:rsidRDefault="007105B6">
      <w:pPr>
        <w:shd w:val="clear" w:color="auto" w:fill="FFFFFF"/>
        <w:ind w:firstLine="720"/>
        <w:jc w:val="both"/>
        <w:rPr>
          <w:b/>
          <w:szCs w:val="24"/>
        </w:rPr>
      </w:pPr>
    </w:p>
    <w:p w:rsidR="00765A3D" w:rsidRDefault="006A5ACA">
      <w:pPr>
        <w:shd w:val="clear" w:color="auto" w:fill="FFFFFF"/>
        <w:spacing w:before="120" w:after="120"/>
        <w:jc w:val="both"/>
        <w:rPr>
          <w:b/>
          <w:szCs w:val="24"/>
        </w:rPr>
      </w:pPr>
      <w:r>
        <w:rPr>
          <w:b/>
          <w:szCs w:val="24"/>
        </w:rPr>
        <w:lastRenderedPageBreak/>
        <w:t xml:space="preserve">Hypothesis Testing Results </w:t>
      </w:r>
    </w:p>
    <w:p w:rsidR="00765A3D" w:rsidRDefault="006A5ACA">
      <w:pPr>
        <w:shd w:val="clear" w:color="auto" w:fill="FFFFFF"/>
        <w:ind w:firstLine="720"/>
        <w:jc w:val="both"/>
        <w:rPr>
          <w:szCs w:val="24"/>
        </w:rPr>
      </w:pPr>
      <w:r>
        <w:rPr>
          <w:szCs w:val="24"/>
        </w:rPr>
        <w:t xml:space="preserve">Hypothesis testing was conducted using </w:t>
      </w:r>
      <w:proofErr w:type="spellStart"/>
      <w:r>
        <w:rPr>
          <w:szCs w:val="24"/>
        </w:rPr>
        <w:t>SmartPLS</w:t>
      </w:r>
      <w:proofErr w:type="spellEnd"/>
      <w:r>
        <w:rPr>
          <w:szCs w:val="24"/>
        </w:rPr>
        <w:t xml:space="preserve"> 3.0 software. To determine the acceptance or rejection, rules of thumb were considered, which were t-statistic &gt;1.96, p-value 0.05 (5%), and beta coefficient. These values could be seen from the bootstrapping results as shown in Table 4 and Figure 2 for this model.</w:t>
      </w:r>
    </w:p>
    <w:p w:rsidR="00765A3D" w:rsidRDefault="00765A3D">
      <w:pPr>
        <w:shd w:val="clear" w:color="auto" w:fill="FFFFFF"/>
        <w:ind w:firstLine="720"/>
        <w:jc w:val="both"/>
        <w:rPr>
          <w:szCs w:val="24"/>
        </w:rPr>
      </w:pPr>
    </w:p>
    <w:p w:rsidR="00765A3D" w:rsidRDefault="006A5ACA">
      <w:pPr>
        <w:shd w:val="clear" w:color="auto" w:fill="FFFFFF"/>
        <w:jc w:val="center"/>
        <w:rPr>
          <w:b/>
          <w:szCs w:val="24"/>
        </w:rPr>
      </w:pPr>
      <w:proofErr w:type="gramStart"/>
      <w:r>
        <w:rPr>
          <w:b/>
          <w:szCs w:val="24"/>
        </w:rPr>
        <w:t>Figure 2.</w:t>
      </w:r>
      <w:proofErr w:type="gramEnd"/>
      <w:r>
        <w:rPr>
          <w:b/>
          <w:szCs w:val="24"/>
        </w:rPr>
        <w:t xml:space="preserve"> Diagram of Path Coefficient and Hypothesis Test</w:t>
      </w:r>
    </w:p>
    <w:p w:rsidR="00765A3D" w:rsidRDefault="006A5ACA">
      <w:pPr>
        <w:shd w:val="clear" w:color="auto" w:fill="FFFFFF"/>
        <w:jc w:val="both"/>
        <w:rPr>
          <w:b/>
          <w:szCs w:val="24"/>
        </w:rPr>
      </w:pPr>
      <w:r>
        <w:rPr>
          <w:b/>
          <w:noProof/>
          <w:szCs w:val="24"/>
        </w:rPr>
        <w:drawing>
          <wp:inline distT="0" distB="0" distL="0" distR="0" wp14:anchorId="11EF8E0E" wp14:editId="2E297572">
            <wp:extent cx="5731510" cy="2094230"/>
            <wp:effectExtent l="0" t="0" r="2540" b="1270"/>
            <wp:docPr id="2" name="image1.png" descr="D:\Riset\IMB\INPUT\boostrp.png"/>
            <wp:cNvGraphicFramePr/>
            <a:graphic xmlns:a="http://schemas.openxmlformats.org/drawingml/2006/main">
              <a:graphicData uri="http://schemas.openxmlformats.org/drawingml/2006/picture">
                <pic:pic xmlns:pic="http://schemas.openxmlformats.org/drawingml/2006/picture">
                  <pic:nvPicPr>
                    <pic:cNvPr id="2" name="image1.png" descr="D:\Riset\IMB\INPUT\boostrp.png"/>
                    <pic:cNvPicPr/>
                  </pic:nvPicPr>
                  <pic:blipFill>
                    <a:blip r:embed="rId10"/>
                    <a:stretch>
                      <a:fillRect/>
                    </a:stretch>
                  </pic:blipFill>
                  <pic:spPr>
                    <a:xfrm>
                      <a:off x="0" y="0"/>
                      <a:ext cx="5731510" cy="2094572"/>
                    </a:xfrm>
                    <a:prstGeom prst="rect">
                      <a:avLst/>
                    </a:prstGeom>
                  </pic:spPr>
                </pic:pic>
              </a:graphicData>
            </a:graphic>
          </wp:inline>
        </w:drawing>
      </w:r>
    </w:p>
    <w:p w:rsidR="00765A3D" w:rsidRDefault="00765A3D">
      <w:pPr>
        <w:shd w:val="clear" w:color="auto" w:fill="FFFFFF"/>
        <w:jc w:val="center"/>
        <w:rPr>
          <w:b/>
          <w:szCs w:val="24"/>
        </w:rPr>
      </w:pPr>
    </w:p>
    <w:p w:rsidR="00765A3D" w:rsidRDefault="00765A3D">
      <w:pPr>
        <w:shd w:val="clear" w:color="auto" w:fill="FFFFFF"/>
        <w:rPr>
          <w:b/>
          <w:szCs w:val="24"/>
        </w:rPr>
      </w:pPr>
    </w:p>
    <w:p w:rsidR="00765A3D" w:rsidRDefault="006A5ACA">
      <w:pPr>
        <w:shd w:val="clear" w:color="auto" w:fill="FFFFFF"/>
        <w:jc w:val="center"/>
        <w:rPr>
          <w:b/>
          <w:szCs w:val="24"/>
        </w:rPr>
      </w:pPr>
      <w:proofErr w:type="gramStart"/>
      <w:r>
        <w:rPr>
          <w:b/>
          <w:szCs w:val="24"/>
        </w:rPr>
        <w:t>Table 4.</w:t>
      </w:r>
      <w:proofErr w:type="gramEnd"/>
      <w:r>
        <w:rPr>
          <w:b/>
          <w:szCs w:val="24"/>
        </w:rPr>
        <w:t xml:space="preserve"> Path Coefficient and Hypothesis Test</w:t>
      </w:r>
    </w:p>
    <w:tbl>
      <w:tblPr>
        <w:tblStyle w:val="Style23"/>
        <w:tblW w:w="9155" w:type="dxa"/>
        <w:tblInd w:w="-21" w:type="dxa"/>
        <w:tblLayout w:type="fixed"/>
        <w:tblLook w:val="04A0" w:firstRow="1" w:lastRow="0" w:firstColumn="1" w:lastColumn="0" w:noHBand="0" w:noVBand="1"/>
      </w:tblPr>
      <w:tblGrid>
        <w:gridCol w:w="692"/>
        <w:gridCol w:w="1803"/>
        <w:gridCol w:w="2070"/>
        <w:gridCol w:w="1710"/>
        <w:gridCol w:w="1260"/>
        <w:gridCol w:w="1620"/>
      </w:tblGrid>
      <w:tr w:rsidR="00765A3D">
        <w:trPr>
          <w:trHeight w:val="300"/>
        </w:trPr>
        <w:tc>
          <w:tcPr>
            <w:tcW w:w="692" w:type="dxa"/>
            <w:tcBorders>
              <w:top w:val="single" w:sz="4" w:space="0" w:color="000000"/>
              <w:left w:val="nil"/>
              <w:bottom w:val="single" w:sz="4" w:space="0" w:color="000000"/>
              <w:right w:val="nil"/>
            </w:tcBorders>
            <w:shd w:val="clear" w:color="auto" w:fill="auto"/>
            <w:vAlign w:val="bottom"/>
          </w:tcPr>
          <w:p w:rsidR="00765A3D" w:rsidRDefault="006A5ACA">
            <w:pPr>
              <w:rPr>
                <w:szCs w:val="24"/>
              </w:rPr>
            </w:pPr>
            <w:r>
              <w:rPr>
                <w:szCs w:val="24"/>
              </w:rPr>
              <w:t> </w:t>
            </w:r>
          </w:p>
        </w:tc>
        <w:tc>
          <w:tcPr>
            <w:tcW w:w="1803"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Hypothesis</w:t>
            </w:r>
          </w:p>
        </w:tc>
        <w:tc>
          <w:tcPr>
            <w:tcW w:w="207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 xml:space="preserve">Sample Mean </w:t>
            </w:r>
          </w:p>
        </w:tc>
        <w:tc>
          <w:tcPr>
            <w:tcW w:w="171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 xml:space="preserve">T Statistics </w:t>
            </w:r>
          </w:p>
        </w:tc>
        <w:tc>
          <w:tcPr>
            <w:tcW w:w="1260" w:type="dxa"/>
            <w:tcBorders>
              <w:top w:val="single" w:sz="4" w:space="0" w:color="000000"/>
              <w:left w:val="nil"/>
              <w:bottom w:val="single" w:sz="4" w:space="0" w:color="000000"/>
              <w:right w:val="nil"/>
            </w:tcBorders>
            <w:shd w:val="clear" w:color="auto" w:fill="auto"/>
            <w:vAlign w:val="center"/>
          </w:tcPr>
          <w:p w:rsidR="00765A3D" w:rsidRDefault="006A5ACA">
            <w:pPr>
              <w:rPr>
                <w:szCs w:val="24"/>
              </w:rPr>
            </w:pPr>
            <w:r>
              <w:rPr>
                <w:szCs w:val="24"/>
              </w:rPr>
              <w:t>P-Values</w:t>
            </w:r>
          </w:p>
        </w:tc>
        <w:tc>
          <w:tcPr>
            <w:tcW w:w="1620" w:type="dxa"/>
            <w:tcBorders>
              <w:top w:val="single" w:sz="4" w:space="0" w:color="000000"/>
              <w:left w:val="nil"/>
              <w:bottom w:val="single" w:sz="4" w:space="0" w:color="000000"/>
              <w:right w:val="nil"/>
            </w:tcBorders>
            <w:shd w:val="clear" w:color="auto" w:fill="auto"/>
            <w:vAlign w:val="bottom"/>
          </w:tcPr>
          <w:p w:rsidR="00765A3D" w:rsidRDefault="006A5ACA">
            <w:pPr>
              <w:rPr>
                <w:szCs w:val="24"/>
              </w:rPr>
            </w:pPr>
            <w:r>
              <w:rPr>
                <w:szCs w:val="24"/>
              </w:rPr>
              <w:t>Results</w:t>
            </w:r>
          </w:p>
        </w:tc>
      </w:tr>
      <w:tr w:rsidR="00765A3D">
        <w:trPr>
          <w:trHeight w:val="315"/>
        </w:trPr>
        <w:tc>
          <w:tcPr>
            <w:tcW w:w="692" w:type="dxa"/>
            <w:tcBorders>
              <w:top w:val="nil"/>
              <w:left w:val="nil"/>
              <w:bottom w:val="nil"/>
              <w:right w:val="nil"/>
            </w:tcBorders>
            <w:shd w:val="clear" w:color="auto" w:fill="auto"/>
            <w:vAlign w:val="bottom"/>
          </w:tcPr>
          <w:p w:rsidR="00765A3D" w:rsidRDefault="006A5ACA">
            <w:pPr>
              <w:rPr>
                <w:szCs w:val="24"/>
              </w:rPr>
            </w:pPr>
            <w:r>
              <w:rPr>
                <w:szCs w:val="24"/>
              </w:rPr>
              <w:t>H1</w:t>
            </w:r>
          </w:p>
        </w:tc>
        <w:tc>
          <w:tcPr>
            <w:tcW w:w="1803" w:type="dxa"/>
            <w:tcBorders>
              <w:top w:val="nil"/>
              <w:left w:val="nil"/>
              <w:bottom w:val="nil"/>
              <w:right w:val="nil"/>
            </w:tcBorders>
            <w:shd w:val="clear" w:color="auto" w:fill="auto"/>
            <w:vAlign w:val="center"/>
          </w:tcPr>
          <w:p w:rsidR="00765A3D" w:rsidRDefault="006A5ACA">
            <w:pPr>
              <w:rPr>
                <w:szCs w:val="24"/>
              </w:rPr>
            </w:pPr>
            <w:r>
              <w:rPr>
                <w:szCs w:val="24"/>
              </w:rPr>
              <w:t>PU -&gt; TR</w:t>
            </w:r>
          </w:p>
        </w:tc>
        <w:tc>
          <w:tcPr>
            <w:tcW w:w="2070" w:type="dxa"/>
            <w:tcBorders>
              <w:top w:val="nil"/>
              <w:left w:val="nil"/>
              <w:bottom w:val="nil"/>
              <w:right w:val="nil"/>
            </w:tcBorders>
            <w:shd w:val="clear" w:color="auto" w:fill="auto"/>
            <w:vAlign w:val="center"/>
          </w:tcPr>
          <w:p w:rsidR="00765A3D" w:rsidRDefault="006A5ACA">
            <w:pPr>
              <w:jc w:val="center"/>
              <w:rPr>
                <w:szCs w:val="24"/>
              </w:rPr>
            </w:pPr>
            <w:r>
              <w:rPr>
                <w:szCs w:val="24"/>
              </w:rPr>
              <w:t>0.554</w:t>
            </w:r>
          </w:p>
        </w:tc>
        <w:tc>
          <w:tcPr>
            <w:tcW w:w="1710" w:type="dxa"/>
            <w:tcBorders>
              <w:top w:val="nil"/>
              <w:left w:val="nil"/>
              <w:bottom w:val="nil"/>
              <w:right w:val="nil"/>
            </w:tcBorders>
            <w:shd w:val="clear" w:color="auto" w:fill="auto"/>
            <w:vAlign w:val="center"/>
          </w:tcPr>
          <w:p w:rsidR="00765A3D" w:rsidRDefault="006A5ACA">
            <w:pPr>
              <w:jc w:val="center"/>
              <w:rPr>
                <w:szCs w:val="24"/>
              </w:rPr>
            </w:pPr>
            <w:r>
              <w:rPr>
                <w:szCs w:val="24"/>
              </w:rPr>
              <w:t>5.045</w:t>
            </w:r>
          </w:p>
        </w:tc>
        <w:tc>
          <w:tcPr>
            <w:tcW w:w="1260" w:type="dxa"/>
            <w:tcBorders>
              <w:top w:val="nil"/>
              <w:left w:val="nil"/>
              <w:bottom w:val="nil"/>
              <w:right w:val="nil"/>
            </w:tcBorders>
            <w:shd w:val="clear" w:color="auto" w:fill="auto"/>
            <w:vAlign w:val="center"/>
          </w:tcPr>
          <w:p w:rsidR="00765A3D" w:rsidRDefault="006A5ACA">
            <w:pPr>
              <w:jc w:val="center"/>
              <w:rPr>
                <w:szCs w:val="24"/>
              </w:rPr>
            </w:pPr>
            <w:r>
              <w:rPr>
                <w:szCs w:val="24"/>
              </w:rPr>
              <w:t>0.000</w:t>
            </w:r>
          </w:p>
        </w:tc>
        <w:tc>
          <w:tcPr>
            <w:tcW w:w="1620" w:type="dxa"/>
            <w:tcBorders>
              <w:top w:val="nil"/>
              <w:left w:val="nil"/>
              <w:bottom w:val="nil"/>
              <w:right w:val="nil"/>
            </w:tcBorders>
            <w:shd w:val="clear" w:color="auto" w:fill="auto"/>
            <w:vAlign w:val="bottom"/>
          </w:tcPr>
          <w:p w:rsidR="00765A3D" w:rsidRDefault="006A5ACA">
            <w:pPr>
              <w:rPr>
                <w:szCs w:val="24"/>
              </w:rPr>
            </w:pPr>
            <w:r>
              <w:rPr>
                <w:szCs w:val="24"/>
              </w:rPr>
              <w:t>Accepted</w:t>
            </w:r>
          </w:p>
        </w:tc>
      </w:tr>
      <w:tr w:rsidR="00765A3D">
        <w:trPr>
          <w:trHeight w:val="315"/>
        </w:trPr>
        <w:tc>
          <w:tcPr>
            <w:tcW w:w="692" w:type="dxa"/>
            <w:tcBorders>
              <w:top w:val="nil"/>
              <w:left w:val="nil"/>
              <w:bottom w:val="nil"/>
              <w:right w:val="nil"/>
            </w:tcBorders>
            <w:shd w:val="clear" w:color="auto" w:fill="auto"/>
            <w:vAlign w:val="bottom"/>
          </w:tcPr>
          <w:p w:rsidR="00765A3D" w:rsidRDefault="006A5ACA">
            <w:pPr>
              <w:rPr>
                <w:szCs w:val="24"/>
              </w:rPr>
            </w:pPr>
            <w:r>
              <w:rPr>
                <w:szCs w:val="24"/>
              </w:rPr>
              <w:t>H2</w:t>
            </w:r>
          </w:p>
        </w:tc>
        <w:tc>
          <w:tcPr>
            <w:tcW w:w="1803" w:type="dxa"/>
            <w:tcBorders>
              <w:top w:val="nil"/>
              <w:left w:val="nil"/>
              <w:bottom w:val="nil"/>
              <w:right w:val="nil"/>
            </w:tcBorders>
            <w:shd w:val="clear" w:color="auto" w:fill="auto"/>
            <w:vAlign w:val="center"/>
          </w:tcPr>
          <w:p w:rsidR="00765A3D" w:rsidRDefault="006A5ACA">
            <w:pPr>
              <w:rPr>
                <w:szCs w:val="24"/>
              </w:rPr>
            </w:pPr>
            <w:r>
              <w:rPr>
                <w:szCs w:val="24"/>
              </w:rPr>
              <w:t>PU -&gt; INT</w:t>
            </w:r>
          </w:p>
        </w:tc>
        <w:tc>
          <w:tcPr>
            <w:tcW w:w="2070" w:type="dxa"/>
            <w:tcBorders>
              <w:top w:val="nil"/>
              <w:left w:val="nil"/>
              <w:bottom w:val="nil"/>
              <w:right w:val="nil"/>
            </w:tcBorders>
            <w:shd w:val="clear" w:color="auto" w:fill="auto"/>
            <w:vAlign w:val="center"/>
          </w:tcPr>
          <w:p w:rsidR="00765A3D" w:rsidRDefault="006A5ACA">
            <w:pPr>
              <w:jc w:val="center"/>
              <w:rPr>
                <w:szCs w:val="24"/>
              </w:rPr>
            </w:pPr>
            <w:r>
              <w:rPr>
                <w:szCs w:val="24"/>
              </w:rPr>
              <w:t>0.183</w:t>
            </w:r>
          </w:p>
        </w:tc>
        <w:tc>
          <w:tcPr>
            <w:tcW w:w="1710" w:type="dxa"/>
            <w:tcBorders>
              <w:top w:val="nil"/>
              <w:left w:val="nil"/>
              <w:bottom w:val="nil"/>
              <w:right w:val="nil"/>
            </w:tcBorders>
            <w:shd w:val="clear" w:color="auto" w:fill="auto"/>
            <w:vAlign w:val="center"/>
          </w:tcPr>
          <w:p w:rsidR="00765A3D" w:rsidRDefault="006A5ACA">
            <w:pPr>
              <w:jc w:val="center"/>
              <w:rPr>
                <w:szCs w:val="24"/>
              </w:rPr>
            </w:pPr>
            <w:r>
              <w:rPr>
                <w:szCs w:val="24"/>
              </w:rPr>
              <w:t>1.415</w:t>
            </w:r>
          </w:p>
        </w:tc>
        <w:tc>
          <w:tcPr>
            <w:tcW w:w="1260" w:type="dxa"/>
            <w:tcBorders>
              <w:top w:val="nil"/>
              <w:left w:val="nil"/>
              <w:bottom w:val="nil"/>
              <w:right w:val="nil"/>
            </w:tcBorders>
            <w:shd w:val="clear" w:color="auto" w:fill="auto"/>
            <w:vAlign w:val="center"/>
          </w:tcPr>
          <w:p w:rsidR="00765A3D" w:rsidRDefault="006A5ACA">
            <w:pPr>
              <w:jc w:val="center"/>
              <w:rPr>
                <w:szCs w:val="24"/>
              </w:rPr>
            </w:pPr>
            <w:r>
              <w:rPr>
                <w:szCs w:val="24"/>
              </w:rPr>
              <w:t>0.157</w:t>
            </w:r>
          </w:p>
        </w:tc>
        <w:tc>
          <w:tcPr>
            <w:tcW w:w="1620" w:type="dxa"/>
            <w:tcBorders>
              <w:top w:val="nil"/>
              <w:left w:val="nil"/>
              <w:bottom w:val="nil"/>
              <w:right w:val="nil"/>
            </w:tcBorders>
            <w:shd w:val="clear" w:color="auto" w:fill="auto"/>
            <w:vAlign w:val="bottom"/>
          </w:tcPr>
          <w:p w:rsidR="00765A3D" w:rsidRDefault="006A5ACA">
            <w:pPr>
              <w:rPr>
                <w:szCs w:val="24"/>
              </w:rPr>
            </w:pPr>
            <w:r>
              <w:rPr>
                <w:szCs w:val="24"/>
              </w:rPr>
              <w:t>Rejected</w:t>
            </w:r>
          </w:p>
        </w:tc>
      </w:tr>
      <w:tr w:rsidR="00765A3D">
        <w:trPr>
          <w:trHeight w:val="300"/>
        </w:trPr>
        <w:tc>
          <w:tcPr>
            <w:tcW w:w="692" w:type="dxa"/>
            <w:tcBorders>
              <w:top w:val="nil"/>
              <w:left w:val="nil"/>
              <w:bottom w:val="nil"/>
              <w:right w:val="nil"/>
            </w:tcBorders>
            <w:shd w:val="clear" w:color="auto" w:fill="auto"/>
            <w:vAlign w:val="bottom"/>
          </w:tcPr>
          <w:p w:rsidR="00765A3D" w:rsidRDefault="006A5ACA">
            <w:pPr>
              <w:rPr>
                <w:szCs w:val="24"/>
              </w:rPr>
            </w:pPr>
            <w:r>
              <w:rPr>
                <w:szCs w:val="24"/>
              </w:rPr>
              <w:t>H3</w:t>
            </w:r>
          </w:p>
        </w:tc>
        <w:tc>
          <w:tcPr>
            <w:tcW w:w="1803" w:type="dxa"/>
            <w:tcBorders>
              <w:top w:val="nil"/>
              <w:left w:val="nil"/>
              <w:bottom w:val="nil"/>
              <w:right w:val="nil"/>
            </w:tcBorders>
            <w:shd w:val="clear" w:color="auto" w:fill="auto"/>
            <w:vAlign w:val="center"/>
          </w:tcPr>
          <w:p w:rsidR="00765A3D" w:rsidRDefault="006A5ACA">
            <w:pPr>
              <w:rPr>
                <w:szCs w:val="24"/>
              </w:rPr>
            </w:pPr>
            <w:r>
              <w:rPr>
                <w:szCs w:val="24"/>
              </w:rPr>
              <w:t>PEOU -&gt; PU</w:t>
            </w:r>
          </w:p>
        </w:tc>
        <w:tc>
          <w:tcPr>
            <w:tcW w:w="2070" w:type="dxa"/>
            <w:tcBorders>
              <w:top w:val="nil"/>
              <w:left w:val="nil"/>
              <w:bottom w:val="nil"/>
              <w:right w:val="nil"/>
            </w:tcBorders>
            <w:shd w:val="clear" w:color="auto" w:fill="auto"/>
            <w:vAlign w:val="center"/>
          </w:tcPr>
          <w:p w:rsidR="00765A3D" w:rsidRDefault="006A5ACA">
            <w:pPr>
              <w:jc w:val="center"/>
              <w:rPr>
                <w:szCs w:val="24"/>
              </w:rPr>
            </w:pPr>
            <w:r>
              <w:rPr>
                <w:szCs w:val="24"/>
              </w:rPr>
              <w:t>0.673</w:t>
            </w:r>
          </w:p>
        </w:tc>
        <w:tc>
          <w:tcPr>
            <w:tcW w:w="1710" w:type="dxa"/>
            <w:tcBorders>
              <w:top w:val="nil"/>
              <w:left w:val="nil"/>
              <w:bottom w:val="nil"/>
              <w:right w:val="nil"/>
            </w:tcBorders>
            <w:shd w:val="clear" w:color="auto" w:fill="auto"/>
            <w:vAlign w:val="center"/>
          </w:tcPr>
          <w:p w:rsidR="00765A3D" w:rsidRDefault="006A5ACA">
            <w:pPr>
              <w:jc w:val="center"/>
              <w:rPr>
                <w:szCs w:val="24"/>
              </w:rPr>
            </w:pPr>
            <w:r>
              <w:rPr>
                <w:szCs w:val="24"/>
              </w:rPr>
              <w:t>11.632</w:t>
            </w:r>
          </w:p>
        </w:tc>
        <w:tc>
          <w:tcPr>
            <w:tcW w:w="1260" w:type="dxa"/>
            <w:tcBorders>
              <w:top w:val="nil"/>
              <w:left w:val="nil"/>
              <w:bottom w:val="nil"/>
              <w:right w:val="nil"/>
            </w:tcBorders>
            <w:shd w:val="clear" w:color="auto" w:fill="auto"/>
            <w:vAlign w:val="center"/>
          </w:tcPr>
          <w:p w:rsidR="00765A3D" w:rsidRDefault="006A5ACA">
            <w:pPr>
              <w:jc w:val="center"/>
              <w:rPr>
                <w:szCs w:val="24"/>
              </w:rPr>
            </w:pPr>
            <w:r>
              <w:rPr>
                <w:szCs w:val="24"/>
              </w:rPr>
              <w:t>0.000</w:t>
            </w:r>
          </w:p>
        </w:tc>
        <w:tc>
          <w:tcPr>
            <w:tcW w:w="1620" w:type="dxa"/>
            <w:tcBorders>
              <w:top w:val="nil"/>
              <w:left w:val="nil"/>
              <w:bottom w:val="nil"/>
              <w:right w:val="nil"/>
            </w:tcBorders>
            <w:shd w:val="clear" w:color="auto" w:fill="auto"/>
            <w:vAlign w:val="bottom"/>
          </w:tcPr>
          <w:p w:rsidR="00765A3D" w:rsidRDefault="006A5ACA">
            <w:pPr>
              <w:rPr>
                <w:szCs w:val="24"/>
              </w:rPr>
            </w:pPr>
            <w:r>
              <w:rPr>
                <w:szCs w:val="24"/>
              </w:rPr>
              <w:t>Accepted</w:t>
            </w:r>
          </w:p>
        </w:tc>
      </w:tr>
      <w:tr w:rsidR="00765A3D">
        <w:trPr>
          <w:trHeight w:val="300"/>
        </w:trPr>
        <w:tc>
          <w:tcPr>
            <w:tcW w:w="692" w:type="dxa"/>
            <w:tcBorders>
              <w:top w:val="nil"/>
              <w:left w:val="nil"/>
              <w:bottom w:val="nil"/>
              <w:right w:val="nil"/>
            </w:tcBorders>
            <w:shd w:val="clear" w:color="auto" w:fill="auto"/>
            <w:vAlign w:val="bottom"/>
          </w:tcPr>
          <w:p w:rsidR="00765A3D" w:rsidRDefault="006A5ACA">
            <w:pPr>
              <w:rPr>
                <w:szCs w:val="24"/>
              </w:rPr>
            </w:pPr>
            <w:r>
              <w:rPr>
                <w:szCs w:val="24"/>
              </w:rPr>
              <w:t>H4</w:t>
            </w:r>
          </w:p>
        </w:tc>
        <w:tc>
          <w:tcPr>
            <w:tcW w:w="1803" w:type="dxa"/>
            <w:tcBorders>
              <w:top w:val="nil"/>
              <w:left w:val="nil"/>
              <w:bottom w:val="nil"/>
              <w:right w:val="nil"/>
            </w:tcBorders>
            <w:shd w:val="clear" w:color="auto" w:fill="auto"/>
            <w:vAlign w:val="center"/>
          </w:tcPr>
          <w:p w:rsidR="00765A3D" w:rsidRDefault="006A5ACA">
            <w:pPr>
              <w:rPr>
                <w:szCs w:val="24"/>
              </w:rPr>
            </w:pPr>
            <w:r>
              <w:rPr>
                <w:szCs w:val="24"/>
              </w:rPr>
              <w:t>PEOU -&gt; TR</w:t>
            </w:r>
          </w:p>
        </w:tc>
        <w:tc>
          <w:tcPr>
            <w:tcW w:w="2070" w:type="dxa"/>
            <w:tcBorders>
              <w:top w:val="nil"/>
              <w:left w:val="nil"/>
              <w:bottom w:val="nil"/>
              <w:right w:val="nil"/>
            </w:tcBorders>
            <w:shd w:val="clear" w:color="auto" w:fill="auto"/>
            <w:vAlign w:val="center"/>
          </w:tcPr>
          <w:p w:rsidR="00765A3D" w:rsidRDefault="006A5ACA">
            <w:pPr>
              <w:jc w:val="center"/>
              <w:rPr>
                <w:szCs w:val="24"/>
              </w:rPr>
            </w:pPr>
            <w:r>
              <w:rPr>
                <w:szCs w:val="24"/>
              </w:rPr>
              <w:t>0.281</w:t>
            </w:r>
          </w:p>
        </w:tc>
        <w:tc>
          <w:tcPr>
            <w:tcW w:w="1710" w:type="dxa"/>
            <w:tcBorders>
              <w:top w:val="nil"/>
              <w:left w:val="nil"/>
              <w:bottom w:val="nil"/>
              <w:right w:val="nil"/>
            </w:tcBorders>
            <w:shd w:val="clear" w:color="auto" w:fill="auto"/>
            <w:vAlign w:val="center"/>
          </w:tcPr>
          <w:p w:rsidR="00765A3D" w:rsidRDefault="006A5ACA">
            <w:pPr>
              <w:jc w:val="center"/>
              <w:rPr>
                <w:szCs w:val="24"/>
              </w:rPr>
            </w:pPr>
            <w:r>
              <w:rPr>
                <w:szCs w:val="24"/>
              </w:rPr>
              <w:t>2.462</w:t>
            </w:r>
          </w:p>
        </w:tc>
        <w:tc>
          <w:tcPr>
            <w:tcW w:w="1260" w:type="dxa"/>
            <w:tcBorders>
              <w:top w:val="nil"/>
              <w:left w:val="nil"/>
              <w:bottom w:val="nil"/>
              <w:right w:val="nil"/>
            </w:tcBorders>
            <w:shd w:val="clear" w:color="auto" w:fill="auto"/>
            <w:vAlign w:val="center"/>
          </w:tcPr>
          <w:p w:rsidR="00765A3D" w:rsidRDefault="006A5ACA">
            <w:pPr>
              <w:jc w:val="center"/>
              <w:rPr>
                <w:szCs w:val="24"/>
              </w:rPr>
            </w:pPr>
            <w:r>
              <w:rPr>
                <w:szCs w:val="24"/>
              </w:rPr>
              <w:t>0.014</w:t>
            </w:r>
          </w:p>
        </w:tc>
        <w:tc>
          <w:tcPr>
            <w:tcW w:w="1620" w:type="dxa"/>
            <w:tcBorders>
              <w:top w:val="nil"/>
              <w:left w:val="nil"/>
              <w:bottom w:val="nil"/>
              <w:right w:val="nil"/>
            </w:tcBorders>
            <w:shd w:val="clear" w:color="auto" w:fill="auto"/>
            <w:vAlign w:val="bottom"/>
          </w:tcPr>
          <w:p w:rsidR="00765A3D" w:rsidRDefault="006A5ACA">
            <w:pPr>
              <w:rPr>
                <w:szCs w:val="24"/>
              </w:rPr>
            </w:pPr>
            <w:r>
              <w:rPr>
                <w:szCs w:val="24"/>
              </w:rPr>
              <w:t>Accepted</w:t>
            </w:r>
          </w:p>
        </w:tc>
      </w:tr>
      <w:tr w:rsidR="00765A3D">
        <w:trPr>
          <w:trHeight w:val="315"/>
        </w:trPr>
        <w:tc>
          <w:tcPr>
            <w:tcW w:w="692" w:type="dxa"/>
            <w:tcBorders>
              <w:top w:val="nil"/>
              <w:left w:val="nil"/>
              <w:bottom w:val="nil"/>
              <w:right w:val="nil"/>
            </w:tcBorders>
            <w:shd w:val="clear" w:color="auto" w:fill="auto"/>
            <w:vAlign w:val="bottom"/>
          </w:tcPr>
          <w:p w:rsidR="00765A3D" w:rsidRDefault="006A5ACA">
            <w:pPr>
              <w:rPr>
                <w:szCs w:val="24"/>
              </w:rPr>
            </w:pPr>
            <w:r>
              <w:rPr>
                <w:szCs w:val="24"/>
              </w:rPr>
              <w:t>H5</w:t>
            </w:r>
          </w:p>
        </w:tc>
        <w:tc>
          <w:tcPr>
            <w:tcW w:w="1803" w:type="dxa"/>
            <w:tcBorders>
              <w:top w:val="nil"/>
              <w:left w:val="nil"/>
              <w:bottom w:val="nil"/>
              <w:right w:val="nil"/>
            </w:tcBorders>
            <w:shd w:val="clear" w:color="auto" w:fill="auto"/>
            <w:vAlign w:val="center"/>
          </w:tcPr>
          <w:p w:rsidR="00765A3D" w:rsidRDefault="006A5ACA">
            <w:pPr>
              <w:rPr>
                <w:szCs w:val="24"/>
              </w:rPr>
            </w:pPr>
            <w:r>
              <w:rPr>
                <w:szCs w:val="24"/>
              </w:rPr>
              <w:t>PEOU -&gt; INT</w:t>
            </w:r>
          </w:p>
        </w:tc>
        <w:tc>
          <w:tcPr>
            <w:tcW w:w="2070" w:type="dxa"/>
            <w:tcBorders>
              <w:top w:val="nil"/>
              <w:left w:val="nil"/>
              <w:bottom w:val="nil"/>
              <w:right w:val="nil"/>
            </w:tcBorders>
            <w:shd w:val="clear" w:color="auto" w:fill="auto"/>
            <w:vAlign w:val="center"/>
          </w:tcPr>
          <w:p w:rsidR="00765A3D" w:rsidRDefault="006A5ACA">
            <w:pPr>
              <w:jc w:val="center"/>
              <w:rPr>
                <w:szCs w:val="24"/>
              </w:rPr>
            </w:pPr>
            <w:r>
              <w:rPr>
                <w:szCs w:val="24"/>
              </w:rPr>
              <w:t>0.246</w:t>
            </w:r>
          </w:p>
        </w:tc>
        <w:tc>
          <w:tcPr>
            <w:tcW w:w="1710" w:type="dxa"/>
            <w:tcBorders>
              <w:top w:val="nil"/>
              <w:left w:val="nil"/>
              <w:bottom w:val="nil"/>
              <w:right w:val="nil"/>
            </w:tcBorders>
            <w:shd w:val="clear" w:color="auto" w:fill="auto"/>
            <w:vAlign w:val="center"/>
          </w:tcPr>
          <w:p w:rsidR="00765A3D" w:rsidRDefault="006A5ACA">
            <w:pPr>
              <w:jc w:val="center"/>
              <w:rPr>
                <w:szCs w:val="24"/>
              </w:rPr>
            </w:pPr>
            <w:r>
              <w:rPr>
                <w:szCs w:val="24"/>
              </w:rPr>
              <w:t>2.174</w:t>
            </w:r>
          </w:p>
        </w:tc>
        <w:tc>
          <w:tcPr>
            <w:tcW w:w="1260" w:type="dxa"/>
            <w:tcBorders>
              <w:top w:val="nil"/>
              <w:left w:val="nil"/>
              <w:bottom w:val="nil"/>
              <w:right w:val="nil"/>
            </w:tcBorders>
            <w:shd w:val="clear" w:color="auto" w:fill="auto"/>
            <w:vAlign w:val="center"/>
          </w:tcPr>
          <w:p w:rsidR="00765A3D" w:rsidRDefault="006A5ACA">
            <w:pPr>
              <w:jc w:val="center"/>
              <w:rPr>
                <w:szCs w:val="24"/>
              </w:rPr>
            </w:pPr>
            <w:r>
              <w:rPr>
                <w:szCs w:val="24"/>
              </w:rPr>
              <w:t>0.030</w:t>
            </w:r>
          </w:p>
        </w:tc>
        <w:tc>
          <w:tcPr>
            <w:tcW w:w="1620" w:type="dxa"/>
            <w:tcBorders>
              <w:top w:val="nil"/>
              <w:left w:val="nil"/>
              <w:bottom w:val="nil"/>
              <w:right w:val="nil"/>
            </w:tcBorders>
            <w:shd w:val="clear" w:color="auto" w:fill="auto"/>
            <w:vAlign w:val="bottom"/>
          </w:tcPr>
          <w:p w:rsidR="00765A3D" w:rsidRDefault="006A5ACA">
            <w:pPr>
              <w:rPr>
                <w:szCs w:val="24"/>
              </w:rPr>
            </w:pPr>
            <w:r>
              <w:rPr>
                <w:szCs w:val="24"/>
              </w:rPr>
              <w:t>Accepted</w:t>
            </w:r>
          </w:p>
        </w:tc>
      </w:tr>
      <w:tr w:rsidR="00765A3D">
        <w:trPr>
          <w:trHeight w:val="315"/>
        </w:trPr>
        <w:tc>
          <w:tcPr>
            <w:tcW w:w="692" w:type="dxa"/>
            <w:tcBorders>
              <w:top w:val="nil"/>
              <w:left w:val="nil"/>
              <w:bottom w:val="nil"/>
              <w:right w:val="nil"/>
            </w:tcBorders>
            <w:shd w:val="clear" w:color="auto" w:fill="auto"/>
            <w:vAlign w:val="bottom"/>
          </w:tcPr>
          <w:p w:rsidR="00765A3D" w:rsidRDefault="006A5ACA">
            <w:pPr>
              <w:rPr>
                <w:szCs w:val="24"/>
              </w:rPr>
            </w:pPr>
            <w:r>
              <w:rPr>
                <w:szCs w:val="24"/>
              </w:rPr>
              <w:t>H6</w:t>
            </w:r>
          </w:p>
        </w:tc>
        <w:tc>
          <w:tcPr>
            <w:tcW w:w="1803" w:type="dxa"/>
            <w:tcBorders>
              <w:top w:val="nil"/>
              <w:left w:val="nil"/>
              <w:bottom w:val="nil"/>
              <w:right w:val="nil"/>
            </w:tcBorders>
            <w:shd w:val="clear" w:color="auto" w:fill="auto"/>
            <w:vAlign w:val="center"/>
          </w:tcPr>
          <w:p w:rsidR="00765A3D" w:rsidRDefault="006A5ACA">
            <w:pPr>
              <w:rPr>
                <w:szCs w:val="24"/>
              </w:rPr>
            </w:pPr>
            <w:r>
              <w:rPr>
                <w:szCs w:val="24"/>
              </w:rPr>
              <w:t>PR -&gt; PU</w:t>
            </w:r>
          </w:p>
        </w:tc>
        <w:tc>
          <w:tcPr>
            <w:tcW w:w="2070" w:type="dxa"/>
            <w:tcBorders>
              <w:top w:val="nil"/>
              <w:left w:val="nil"/>
              <w:bottom w:val="nil"/>
              <w:right w:val="nil"/>
            </w:tcBorders>
            <w:shd w:val="clear" w:color="auto" w:fill="auto"/>
            <w:vAlign w:val="center"/>
          </w:tcPr>
          <w:p w:rsidR="00765A3D" w:rsidRDefault="006A5ACA">
            <w:pPr>
              <w:jc w:val="center"/>
              <w:rPr>
                <w:szCs w:val="24"/>
              </w:rPr>
            </w:pPr>
            <w:r>
              <w:rPr>
                <w:szCs w:val="24"/>
              </w:rPr>
              <w:t>0.112</w:t>
            </w:r>
          </w:p>
        </w:tc>
        <w:tc>
          <w:tcPr>
            <w:tcW w:w="1710" w:type="dxa"/>
            <w:tcBorders>
              <w:top w:val="nil"/>
              <w:left w:val="nil"/>
              <w:bottom w:val="nil"/>
              <w:right w:val="nil"/>
            </w:tcBorders>
            <w:shd w:val="clear" w:color="auto" w:fill="auto"/>
            <w:vAlign w:val="center"/>
          </w:tcPr>
          <w:p w:rsidR="00765A3D" w:rsidRDefault="006A5ACA">
            <w:pPr>
              <w:jc w:val="center"/>
              <w:rPr>
                <w:szCs w:val="24"/>
              </w:rPr>
            </w:pPr>
            <w:r>
              <w:rPr>
                <w:szCs w:val="24"/>
              </w:rPr>
              <w:t>2.389</w:t>
            </w:r>
          </w:p>
        </w:tc>
        <w:tc>
          <w:tcPr>
            <w:tcW w:w="1260" w:type="dxa"/>
            <w:tcBorders>
              <w:top w:val="nil"/>
              <w:left w:val="nil"/>
              <w:bottom w:val="nil"/>
              <w:right w:val="nil"/>
            </w:tcBorders>
            <w:shd w:val="clear" w:color="auto" w:fill="auto"/>
            <w:vAlign w:val="center"/>
          </w:tcPr>
          <w:p w:rsidR="00765A3D" w:rsidRDefault="006A5ACA">
            <w:pPr>
              <w:jc w:val="center"/>
              <w:rPr>
                <w:szCs w:val="24"/>
              </w:rPr>
            </w:pPr>
            <w:r>
              <w:rPr>
                <w:szCs w:val="24"/>
              </w:rPr>
              <w:t>0.017</w:t>
            </w:r>
          </w:p>
        </w:tc>
        <w:tc>
          <w:tcPr>
            <w:tcW w:w="1620" w:type="dxa"/>
            <w:tcBorders>
              <w:top w:val="nil"/>
              <w:left w:val="nil"/>
              <w:bottom w:val="nil"/>
              <w:right w:val="nil"/>
            </w:tcBorders>
            <w:shd w:val="clear" w:color="auto" w:fill="auto"/>
            <w:vAlign w:val="bottom"/>
          </w:tcPr>
          <w:p w:rsidR="00765A3D" w:rsidRDefault="006A5ACA">
            <w:pPr>
              <w:rPr>
                <w:szCs w:val="24"/>
              </w:rPr>
            </w:pPr>
            <w:r>
              <w:rPr>
                <w:szCs w:val="24"/>
              </w:rPr>
              <w:t>Accepted</w:t>
            </w:r>
          </w:p>
        </w:tc>
      </w:tr>
      <w:tr w:rsidR="00765A3D">
        <w:trPr>
          <w:trHeight w:val="315"/>
        </w:trPr>
        <w:tc>
          <w:tcPr>
            <w:tcW w:w="692" w:type="dxa"/>
            <w:tcBorders>
              <w:top w:val="nil"/>
              <w:left w:val="nil"/>
              <w:bottom w:val="nil"/>
              <w:right w:val="nil"/>
            </w:tcBorders>
            <w:shd w:val="clear" w:color="auto" w:fill="auto"/>
            <w:vAlign w:val="bottom"/>
          </w:tcPr>
          <w:p w:rsidR="00765A3D" w:rsidRDefault="006A5ACA">
            <w:pPr>
              <w:rPr>
                <w:szCs w:val="24"/>
              </w:rPr>
            </w:pPr>
            <w:r>
              <w:rPr>
                <w:szCs w:val="24"/>
              </w:rPr>
              <w:t>H7</w:t>
            </w:r>
          </w:p>
        </w:tc>
        <w:tc>
          <w:tcPr>
            <w:tcW w:w="1803" w:type="dxa"/>
            <w:tcBorders>
              <w:top w:val="nil"/>
              <w:left w:val="nil"/>
              <w:bottom w:val="nil"/>
              <w:right w:val="nil"/>
            </w:tcBorders>
            <w:shd w:val="clear" w:color="auto" w:fill="auto"/>
            <w:vAlign w:val="center"/>
          </w:tcPr>
          <w:p w:rsidR="00765A3D" w:rsidRDefault="006A5ACA">
            <w:pPr>
              <w:rPr>
                <w:szCs w:val="24"/>
              </w:rPr>
            </w:pPr>
            <w:r>
              <w:rPr>
                <w:szCs w:val="24"/>
              </w:rPr>
              <w:t>PR -&gt; INT</w:t>
            </w:r>
          </w:p>
        </w:tc>
        <w:tc>
          <w:tcPr>
            <w:tcW w:w="2070" w:type="dxa"/>
            <w:tcBorders>
              <w:top w:val="nil"/>
              <w:left w:val="nil"/>
              <w:bottom w:val="nil"/>
              <w:right w:val="nil"/>
            </w:tcBorders>
            <w:shd w:val="clear" w:color="auto" w:fill="auto"/>
            <w:vAlign w:val="center"/>
          </w:tcPr>
          <w:p w:rsidR="00765A3D" w:rsidRDefault="006A5ACA">
            <w:pPr>
              <w:jc w:val="center"/>
              <w:rPr>
                <w:szCs w:val="24"/>
              </w:rPr>
            </w:pPr>
            <w:r>
              <w:rPr>
                <w:szCs w:val="24"/>
              </w:rPr>
              <w:t>0.115</w:t>
            </w:r>
          </w:p>
        </w:tc>
        <w:tc>
          <w:tcPr>
            <w:tcW w:w="1710" w:type="dxa"/>
            <w:tcBorders>
              <w:top w:val="nil"/>
              <w:left w:val="nil"/>
              <w:bottom w:val="nil"/>
              <w:right w:val="nil"/>
            </w:tcBorders>
            <w:shd w:val="clear" w:color="auto" w:fill="auto"/>
            <w:vAlign w:val="center"/>
          </w:tcPr>
          <w:p w:rsidR="00765A3D" w:rsidRDefault="006A5ACA">
            <w:pPr>
              <w:jc w:val="center"/>
              <w:rPr>
                <w:szCs w:val="24"/>
              </w:rPr>
            </w:pPr>
            <w:r>
              <w:rPr>
                <w:szCs w:val="24"/>
              </w:rPr>
              <w:t>2.060</w:t>
            </w:r>
          </w:p>
        </w:tc>
        <w:tc>
          <w:tcPr>
            <w:tcW w:w="1260" w:type="dxa"/>
            <w:tcBorders>
              <w:top w:val="nil"/>
              <w:left w:val="nil"/>
              <w:bottom w:val="nil"/>
              <w:right w:val="nil"/>
            </w:tcBorders>
            <w:shd w:val="clear" w:color="auto" w:fill="auto"/>
            <w:vAlign w:val="center"/>
          </w:tcPr>
          <w:p w:rsidR="00765A3D" w:rsidRDefault="006A5ACA">
            <w:pPr>
              <w:jc w:val="center"/>
              <w:rPr>
                <w:szCs w:val="24"/>
              </w:rPr>
            </w:pPr>
            <w:r>
              <w:rPr>
                <w:szCs w:val="24"/>
              </w:rPr>
              <w:t>0.039</w:t>
            </w:r>
          </w:p>
        </w:tc>
        <w:tc>
          <w:tcPr>
            <w:tcW w:w="1620" w:type="dxa"/>
            <w:tcBorders>
              <w:top w:val="nil"/>
              <w:left w:val="nil"/>
              <w:bottom w:val="nil"/>
              <w:right w:val="nil"/>
            </w:tcBorders>
            <w:shd w:val="clear" w:color="auto" w:fill="auto"/>
            <w:vAlign w:val="bottom"/>
          </w:tcPr>
          <w:p w:rsidR="00765A3D" w:rsidRDefault="006A5ACA">
            <w:pPr>
              <w:rPr>
                <w:szCs w:val="24"/>
              </w:rPr>
            </w:pPr>
            <w:r>
              <w:rPr>
                <w:szCs w:val="24"/>
              </w:rPr>
              <w:t>Rejected</w:t>
            </w:r>
          </w:p>
        </w:tc>
      </w:tr>
      <w:tr w:rsidR="00765A3D">
        <w:trPr>
          <w:trHeight w:val="315"/>
        </w:trPr>
        <w:tc>
          <w:tcPr>
            <w:tcW w:w="692" w:type="dxa"/>
            <w:tcBorders>
              <w:top w:val="nil"/>
              <w:left w:val="nil"/>
              <w:bottom w:val="single" w:sz="4" w:space="0" w:color="000000"/>
              <w:right w:val="nil"/>
            </w:tcBorders>
            <w:shd w:val="clear" w:color="auto" w:fill="auto"/>
            <w:vAlign w:val="bottom"/>
          </w:tcPr>
          <w:p w:rsidR="00765A3D" w:rsidRDefault="006A5ACA">
            <w:pPr>
              <w:rPr>
                <w:szCs w:val="24"/>
              </w:rPr>
            </w:pPr>
            <w:r>
              <w:rPr>
                <w:szCs w:val="24"/>
              </w:rPr>
              <w:t>H8</w:t>
            </w:r>
          </w:p>
        </w:tc>
        <w:tc>
          <w:tcPr>
            <w:tcW w:w="1803" w:type="dxa"/>
            <w:tcBorders>
              <w:top w:val="nil"/>
              <w:left w:val="nil"/>
              <w:bottom w:val="single" w:sz="4" w:space="0" w:color="000000"/>
              <w:right w:val="nil"/>
            </w:tcBorders>
            <w:shd w:val="clear" w:color="auto" w:fill="auto"/>
            <w:vAlign w:val="center"/>
          </w:tcPr>
          <w:p w:rsidR="00765A3D" w:rsidRDefault="006A5ACA">
            <w:pPr>
              <w:rPr>
                <w:szCs w:val="24"/>
              </w:rPr>
            </w:pPr>
            <w:r>
              <w:rPr>
                <w:szCs w:val="24"/>
              </w:rPr>
              <w:t>TR -&gt; INT</w:t>
            </w:r>
          </w:p>
        </w:tc>
        <w:tc>
          <w:tcPr>
            <w:tcW w:w="2070" w:type="dxa"/>
            <w:tcBorders>
              <w:top w:val="nil"/>
              <w:left w:val="nil"/>
              <w:bottom w:val="single" w:sz="4" w:space="0" w:color="000000"/>
              <w:right w:val="nil"/>
            </w:tcBorders>
            <w:shd w:val="clear" w:color="auto" w:fill="auto"/>
            <w:vAlign w:val="center"/>
          </w:tcPr>
          <w:p w:rsidR="00765A3D" w:rsidRDefault="006A5ACA">
            <w:pPr>
              <w:jc w:val="center"/>
              <w:rPr>
                <w:szCs w:val="24"/>
              </w:rPr>
            </w:pPr>
            <w:r>
              <w:rPr>
                <w:szCs w:val="24"/>
              </w:rPr>
              <w:t>0.312</w:t>
            </w:r>
          </w:p>
        </w:tc>
        <w:tc>
          <w:tcPr>
            <w:tcW w:w="1710" w:type="dxa"/>
            <w:tcBorders>
              <w:top w:val="nil"/>
              <w:left w:val="nil"/>
              <w:bottom w:val="single" w:sz="4" w:space="0" w:color="000000"/>
              <w:right w:val="nil"/>
            </w:tcBorders>
            <w:shd w:val="clear" w:color="auto" w:fill="auto"/>
            <w:vAlign w:val="center"/>
          </w:tcPr>
          <w:p w:rsidR="00765A3D" w:rsidRDefault="006A5ACA">
            <w:pPr>
              <w:jc w:val="center"/>
              <w:rPr>
                <w:szCs w:val="24"/>
              </w:rPr>
            </w:pPr>
            <w:r>
              <w:rPr>
                <w:szCs w:val="24"/>
              </w:rPr>
              <w:t>2.787</w:t>
            </w:r>
          </w:p>
        </w:tc>
        <w:tc>
          <w:tcPr>
            <w:tcW w:w="1260" w:type="dxa"/>
            <w:tcBorders>
              <w:top w:val="nil"/>
              <w:left w:val="nil"/>
              <w:bottom w:val="single" w:sz="4" w:space="0" w:color="000000"/>
              <w:right w:val="nil"/>
            </w:tcBorders>
            <w:shd w:val="clear" w:color="auto" w:fill="auto"/>
            <w:vAlign w:val="center"/>
          </w:tcPr>
          <w:p w:rsidR="00765A3D" w:rsidRDefault="006A5ACA">
            <w:pPr>
              <w:jc w:val="center"/>
              <w:rPr>
                <w:szCs w:val="24"/>
              </w:rPr>
            </w:pPr>
            <w:r>
              <w:rPr>
                <w:szCs w:val="24"/>
              </w:rPr>
              <w:t>0.005</w:t>
            </w:r>
          </w:p>
        </w:tc>
        <w:tc>
          <w:tcPr>
            <w:tcW w:w="1620" w:type="dxa"/>
            <w:tcBorders>
              <w:top w:val="nil"/>
              <w:left w:val="nil"/>
              <w:bottom w:val="single" w:sz="4" w:space="0" w:color="000000"/>
              <w:right w:val="nil"/>
            </w:tcBorders>
            <w:shd w:val="clear" w:color="auto" w:fill="auto"/>
            <w:vAlign w:val="bottom"/>
          </w:tcPr>
          <w:p w:rsidR="00765A3D" w:rsidRDefault="006A5ACA">
            <w:pPr>
              <w:rPr>
                <w:szCs w:val="24"/>
              </w:rPr>
            </w:pPr>
            <w:r>
              <w:rPr>
                <w:szCs w:val="24"/>
              </w:rPr>
              <w:t>Accepted</w:t>
            </w:r>
          </w:p>
        </w:tc>
      </w:tr>
    </w:tbl>
    <w:p w:rsidR="00765A3D" w:rsidRDefault="00765A3D">
      <w:pPr>
        <w:shd w:val="clear" w:color="auto" w:fill="FFFFFF"/>
        <w:jc w:val="both"/>
        <w:rPr>
          <w:szCs w:val="24"/>
        </w:rPr>
      </w:pPr>
    </w:p>
    <w:p w:rsidR="00765A3D" w:rsidRDefault="006A5ACA">
      <w:pPr>
        <w:shd w:val="clear" w:color="auto" w:fill="FFFFFF"/>
        <w:ind w:firstLine="720"/>
        <w:jc w:val="both"/>
        <w:rPr>
          <w:szCs w:val="24"/>
        </w:rPr>
      </w:pPr>
      <w:r>
        <w:rPr>
          <w:szCs w:val="24"/>
        </w:rPr>
        <w:t>The results in Table 4 showed that out of the 8 hypotheses proposed, 6 (H1, H3, H4, H5, H6, H8) were accepted while the other 2 (H2 and H7) were rejected. The statistical modeling had a good level of significance with a P-value &lt; 0.05 for 6 variables. The testing result for perceived usefulness on trust showed a t-statistic value of 5.045&gt; 1.96, a p-value of 0.00 &lt;0.05, and a positive beta coefficient value of 0.554. Therefore, the results indicated that perceived usefulness has a positive and significant impact on trust, and H1 was supported. There was no empirical evidence to support H2, as the testing result for the variable on intention showed a t-statistic value of 1.415 &lt;1.96 with a p-value &gt; 0.05.Furthermore, this study found that perceived ease of use had a positive and significant impact on usefulness, trust, and intention to use M-Banking, supporting H3, H4, and H5. The effect of the variable on usefulness had a t-statistic, p-value, and positive beta coefficient of 11.632&gt; 1.96, 0.00 &lt;0.05, and 0.673 indicating that perceived ease of use had a positive and significant impact on usefulness.</w:t>
      </w:r>
    </w:p>
    <w:p w:rsidR="00765A3D" w:rsidRPr="00B64EDD" w:rsidRDefault="006A5ACA" w:rsidP="00B64EDD">
      <w:pPr>
        <w:shd w:val="clear" w:color="auto" w:fill="FFFFFF"/>
        <w:ind w:firstLine="720"/>
        <w:jc w:val="both"/>
        <w:rPr>
          <w:szCs w:val="24"/>
        </w:rPr>
      </w:pPr>
      <w:r>
        <w:rPr>
          <w:szCs w:val="24"/>
        </w:rPr>
        <w:lastRenderedPageBreak/>
        <w:t>Similarly, the testing result for perceived ease of use on trust showed a t-statistic, p-value, and positive beta coefficient of 2.462&gt; 1.96, 0.014 &lt;0.05, and 0.281. Therefore, it could be concluded that the variable had a positive and significant impact on trust. The results of perceived ease of use on intention showed a t-statistic, p-value, and positive beta coefficient of 2.174 &gt; 1.96, 0.030 &lt; 0.05, and 0.246, respectively. Therefore, it could be concluded that the variable had a positive and significant impact on intention to use M-Banking. This study also showed that perceived usefulness was positively and significantly influenced by perceived risk, with a t-statistic, p-value, and positive beta coefficient of 2.389 &gt; 1.96, 0.017 &lt; 0.05, and 0.112, respectively, hence, H6 was supported. Perceived risk and trust had a positive and significant impact on intention to use M-Banking. This was evidenced by the results of perceived risk and trust on intention with a t-statistic, p-value, and positive beta coefficient of 2.060 &gt; 1.96, 0.039 &lt; 0.05, and 0.115, respectively, hence H7 was rejected. The impact of trust on intention showed a t-statistic, p-value, and positive beta coefficient of 2.060 &gt; 1.96, 0.00 &lt; 0.05, and 0.115, respectively. Therefore, trust has a positive and significant impact on intention to use M-Banking, and H8 was accepted.</w:t>
      </w:r>
    </w:p>
    <w:p w:rsidR="00765A3D" w:rsidRDefault="006A5ACA">
      <w:pPr>
        <w:shd w:val="clear" w:color="auto" w:fill="FFFFFF"/>
        <w:jc w:val="both"/>
        <w:rPr>
          <w:szCs w:val="24"/>
        </w:rPr>
      </w:pPr>
      <w:r>
        <w:rPr>
          <w:b/>
          <w:szCs w:val="24"/>
        </w:rPr>
        <w:t>Discussion</w:t>
      </w:r>
    </w:p>
    <w:p w:rsidR="00B64EDD" w:rsidRDefault="006A5ACA" w:rsidP="001E6093">
      <w:pPr>
        <w:ind w:firstLine="720"/>
        <w:jc w:val="both"/>
        <w:rPr>
          <w:szCs w:val="24"/>
        </w:rPr>
      </w:pPr>
      <w:r>
        <w:rPr>
          <w:szCs w:val="24"/>
        </w:rPr>
        <w:t xml:space="preserve">The empirical findings indicated the importance of the variables of usefulness and ease of use in shaping trust in M-Banking. These results were consistent with </w:t>
      </w:r>
      <w:r w:rsidR="00DB3A11">
        <w:rPr>
          <w:szCs w:val="24"/>
        </w:rPr>
        <w:fldChar w:fldCharType="begin" w:fldLock="1"/>
      </w:r>
      <w:r w:rsidR="00DB3A11">
        <w:rPr>
          <w:szCs w:val="24"/>
        </w:rPr>
        <w:instrText>ADDIN CSL_CITATION {"citationItems":[{"id":"ITEM-1","itemData":{"DOI":"10.13106/jafeb.2021.vol8.no1.353","author":[{"dropping-particle":"","family":"Ramli","given":"Yanto","non-dropping-particle":"","parse-names":false,"suffix":""},{"dropping-particle":"","family":"Harwani","given":"Yuli","non-dropping-particle":"","parse-names":false,"suffix":""},{"dropping-particle":"","family":"Soelton","given":"Mochamad","non-dropping-particle":"","parse-names":false,"suffix":""},{"dropping-particle":"","family":"Hariani","given":"Swarmilah","non-dropping-particle":"","parse-names":false,"suffix":""},{"dropping-particle":"","family":"Usman","given":"Fadlil","non-dropping-particle":"","parse-names":false,"suffix":""}],"container-title":"Journal of Asian Finance, Economics and Business","id":"ITEM-1","issue":"1","issued":{"date-parts":[["2021"]]},"page":"353-361","title":"The Implication of Trust that Influences Customers ’ Intention to Use Mobile Banking","type":"article-journal","volume":"8"},"uris":["http://www.mendeley.com/documents/?uuid=86308d68-c690-4fd2-ba20-73e4597754aa"]}],"mendeley":{"formattedCitation":"(Ramli et al., 2021)","manualFormatting":" Ramli et al., (2021)","plainTextFormattedCitation":"(Ramli et al., 2021)","previouslyFormattedCitation":"(Ramli et al., 2021)"},"properties":{"noteIndex":0},"schema":"https://github.com/citation-style-language/schema/raw/master/csl-citation.json"}</w:instrText>
      </w:r>
      <w:r w:rsidR="00DB3A11">
        <w:rPr>
          <w:szCs w:val="24"/>
        </w:rPr>
        <w:fldChar w:fldCharType="separate"/>
      </w:r>
      <w:r w:rsidR="00DB3A11">
        <w:rPr>
          <w:noProof/>
          <w:szCs w:val="24"/>
        </w:rPr>
        <w:t xml:space="preserve"> </w:t>
      </w:r>
      <w:r w:rsidR="00DB3A11" w:rsidRPr="00DB3A11">
        <w:rPr>
          <w:noProof/>
          <w:szCs w:val="24"/>
        </w:rPr>
        <w:t xml:space="preserve">Ramli et al., </w:t>
      </w:r>
      <w:r w:rsidR="00DB3A11">
        <w:rPr>
          <w:noProof/>
          <w:szCs w:val="24"/>
        </w:rPr>
        <w:t>(</w:t>
      </w:r>
      <w:r w:rsidR="00DB3A11" w:rsidRPr="00DB3A11">
        <w:rPr>
          <w:noProof/>
          <w:szCs w:val="24"/>
        </w:rPr>
        <w:t>2021)</w:t>
      </w:r>
      <w:r w:rsidR="00DB3A11">
        <w:rPr>
          <w:szCs w:val="24"/>
        </w:rPr>
        <w:fldChar w:fldCharType="end"/>
      </w:r>
      <w:r>
        <w:rPr>
          <w:szCs w:val="24"/>
        </w:rPr>
        <w:t xml:space="preserve">, where the variables had a positive and significant impact on trust. The effect of perceived usefulness on trust had a coefficient of 0.554, which was larger than perceived ease of use, with a coefficient of 0.281. Therefore, trust in M-Banking was strongly influenced by perceived usefulness than ease of use. The variables of ease of use and trust have an impact on intention to use M-Banking. This study showed that intention, which was affected by ease of use and trust, was a positive and significant factor, consistent with the findings of </w:t>
      </w:r>
      <w:r w:rsidR="00DB3A11">
        <w:rPr>
          <w:szCs w:val="24"/>
        </w:rPr>
        <w:fldChar w:fldCharType="begin" w:fldLock="1"/>
      </w:r>
      <w:r w:rsidR="00DB3A11">
        <w:rPr>
          <w:szCs w:val="24"/>
        </w:rPr>
        <w:instrText>ADDIN CSL_CITATION {"citationItems":[{"id":"ITEM-1","itemData":{"DOI":"10.13106/jafeb.2021.vol8.no1.353","author":[{"dropping-particle":"","family":"Ramli","given":"Yanto","non-dropping-particle":"","parse-names":false,"suffix":""},{"dropping-particle":"","family":"Harwani","given":"Yuli","non-dropping-particle":"","parse-names":false,"suffix":""},{"dropping-particle":"","family":"Soelton","given":"Mochamad","non-dropping-particle":"","parse-names":false,"suffix":""},{"dropping-particle":"","family":"Hariani","given":"Swarmilah","non-dropping-particle":"","parse-names":false,"suffix":""},{"dropping-particle":"","family":"Usman","given":"Fadlil","non-dropping-particle":"","parse-names":false,"suffix":""}],"container-title":"Journal of Asian Finance, Economics and Business","id":"ITEM-1","issue":"1","issued":{"date-parts":[["2021"]]},"page":"353-361","title":"The Implication of Trust that Influences Customers ’ Intention to Use Mobile Banking","type":"article-journal","volume":"8"},"uris":["http://www.mendeley.com/documents/?uuid=86308d68-c690-4fd2-ba20-73e4597754aa"]}],"mendeley":{"formattedCitation":"(Ramli et al., 2021)","manualFormatting":"Ramli et al., (2021)","plainTextFormattedCitation":"(Ramli et al., 2021)","previouslyFormattedCitation":"(Ramli et al., 2021)"},"properties":{"noteIndex":0},"schema":"https://github.com/citation-style-language/schema/raw/master/csl-citation.json"}</w:instrText>
      </w:r>
      <w:r w:rsidR="00DB3A11">
        <w:rPr>
          <w:szCs w:val="24"/>
        </w:rPr>
        <w:fldChar w:fldCharType="separate"/>
      </w:r>
      <w:r w:rsidR="00DB3A11" w:rsidRPr="00DB3A11">
        <w:rPr>
          <w:noProof/>
          <w:szCs w:val="24"/>
        </w:rPr>
        <w:t xml:space="preserve">Ramli et al., </w:t>
      </w:r>
      <w:r w:rsidR="00DB3A11">
        <w:rPr>
          <w:noProof/>
          <w:szCs w:val="24"/>
        </w:rPr>
        <w:t>(</w:t>
      </w:r>
      <w:r w:rsidR="00DB3A11" w:rsidRPr="00DB3A11">
        <w:rPr>
          <w:noProof/>
          <w:szCs w:val="24"/>
        </w:rPr>
        <w:t>2021)</w:t>
      </w:r>
      <w:r w:rsidR="00DB3A11">
        <w:rPr>
          <w:szCs w:val="24"/>
        </w:rPr>
        <w:fldChar w:fldCharType="end"/>
      </w:r>
      <w:r>
        <w:rPr>
          <w:szCs w:val="24"/>
        </w:rPr>
        <w:t xml:space="preserve">. However, perceived usefulness did not have an impact on intention, in line with the findings of </w:t>
      </w:r>
      <w:r w:rsidR="00DB3A11">
        <w:rPr>
          <w:szCs w:val="24"/>
        </w:rPr>
        <w:fldChar w:fldCharType="begin" w:fldLock="1"/>
      </w:r>
      <w:r w:rsidR="001869A6">
        <w:rPr>
          <w:szCs w:val="24"/>
        </w:rPr>
        <w:instrText>ADDIN CSL_CITATION {"citationItems":[{"id":"ITEM-1","itemData":{"author":[{"dropping-particle":"","family":"Al-Jabri","given":"I.M.","non-dropping-particle":"","parse-names":false,"suffix":""}],"container-title":"South African Journal of Business Management","id":"ITEM-1","issue":"1","issued":{"date-parts":[["2015"]]},"page":"23-34","title":"The intention to use mobile banking : Further evidence from Saudi Arabia","type":"article-journal","volume":"46"},"uris":["http://www.mendeley.com/documents/?uuid=f4780398-d4b0-457b-9386-07df70fc0744"]}],"mendeley":{"formattedCitation":"(Al-Jabri, 2015)","manualFormatting":"Al-Jabri, (2015)","plainTextFormattedCitation":"(Al-Jabri, 2015)","previouslyFormattedCitation":"(Al-Jabri, 2015)"},"properties":{"noteIndex":0},"schema":"https://github.com/citation-style-language/schema/raw/master/csl-citation.json"}</w:instrText>
      </w:r>
      <w:r w:rsidR="00DB3A11">
        <w:rPr>
          <w:szCs w:val="24"/>
        </w:rPr>
        <w:fldChar w:fldCharType="separate"/>
      </w:r>
      <w:r w:rsidR="00DB3A11">
        <w:rPr>
          <w:noProof/>
          <w:szCs w:val="24"/>
        </w:rPr>
        <w:t>Al-Jabri, (</w:t>
      </w:r>
      <w:r w:rsidR="00DB3A11" w:rsidRPr="00DB3A11">
        <w:rPr>
          <w:noProof/>
          <w:szCs w:val="24"/>
        </w:rPr>
        <w:t>2015)</w:t>
      </w:r>
      <w:r w:rsidR="00DB3A11">
        <w:rPr>
          <w:szCs w:val="24"/>
        </w:rPr>
        <w:fldChar w:fldCharType="end"/>
      </w:r>
      <w:r w:rsidR="00DB3A11">
        <w:rPr>
          <w:szCs w:val="24"/>
        </w:rPr>
        <w:t xml:space="preserve">. </w:t>
      </w:r>
      <w:r>
        <w:rPr>
          <w:szCs w:val="24"/>
        </w:rPr>
        <w:t>This study found that perceived risk did not hi</w:t>
      </w:r>
      <w:r w:rsidR="001869A6">
        <w:rPr>
          <w:szCs w:val="24"/>
        </w:rPr>
        <w:t>nder intention to use M-Banking.</w:t>
      </w:r>
      <w:r>
        <w:rPr>
          <w:szCs w:val="24"/>
        </w:rPr>
        <w:t xml:space="preserve"> The potential explanation was that the respondents were highly educated and aware of the risks associated with using M-Banking. </w:t>
      </w:r>
    </w:p>
    <w:p w:rsidR="00765A3D" w:rsidRDefault="006A5ACA" w:rsidP="001E6093">
      <w:pPr>
        <w:ind w:firstLine="720"/>
        <w:jc w:val="both"/>
        <w:rPr>
          <w:szCs w:val="24"/>
        </w:rPr>
      </w:pPr>
      <w:r>
        <w:rPr>
          <w:szCs w:val="24"/>
        </w:rPr>
        <w:t xml:space="preserve">Furthermore, the advancements in M-Banking had led to the average user being less concerned about risks. Before definitive statements could be made, additional study was required, since previous studies showed that perceived risk had a stronger negative effect on intention to use M-Banking.  A significant positive impact of trust on intention to use M-Banking was also reported in line with </w:t>
      </w:r>
      <w:r w:rsidR="001869A6">
        <w:rPr>
          <w:szCs w:val="24"/>
        </w:rPr>
        <w:fldChar w:fldCharType="begin" w:fldLock="1"/>
      </w:r>
      <w:r w:rsidR="00417C0D">
        <w:rPr>
          <w:szCs w:val="24"/>
        </w:rPr>
        <w:instrText>ADDIN CSL_CITATION {"citationItems":[{"id":"ITEM-1","itemData":{"author":[{"dropping-particle":"","family":"Alalwan","given":"Ali Abdallah","non-dropping-particle":"","parse-names":false,"suffix":""},{"dropping-particle":"","family":"Yogesh K. Dwivedi","given":"Nripendra P. Rana and Michael D. Williams","non-dropping-particle":"","parse-names":false,"suffix":""}],"container-title":"Journal of Enterprise Information Management","id":"ITEM-1","issue":"1","issued":{"date-parts":[["2016"]]},"page":"118-139","title":"Consumer adoption of mobile banking in Jordan : Examining the role of usefulness , ease of use , perceived risk and self-efficacy","type":"article-journal","volume":"29"},"uris":["http://www.mendeley.com/documents/?uuid=4c6b8f27-9a37-4a9c-b68c-c93dfeb40a52"]},{"id":"ITEM-2","itemData":{"DOI":"10.13106/jafeb.2020.vol7.no12.1073","author":[{"dropping-particle":"","family":"Nguyen","given":"Van Anh","non-dropping-particle":"","parse-names":false,"suffix":""},{"dropping-particle":"","family":"Phuong","given":"Thi","non-dropping-particle":"","parse-names":false,"suffix":""},{"dropping-particle":"","family":"Nguyen","given":"Thao","non-dropping-particle":"","parse-names":false,"suffix":""}],"container-title":"Journal of Asian Finance, Economics and Business","id":"ITEM-2","issue":"12","issued":{"date-parts":[["2020"]]},"page":"1073-1087","title":"An Integrated Model of CSR Perception and TAM on Intention to Adopt Mobile Banking","type":"article-journal","volume":"7"},"uris":["http://www.mendeley.com/documents/?uuid=e48f5ac4-875b-45cd-8b5e-a780ce4b2824"]},{"id":"ITEM-3","itemData":{"DOI":"10.13106/jafeb.2021.vol8.no11.0157","author":[{"dropping-particle":"","family":"Sang","given":"Nguyen Minh","non-dropping-particle":"","parse-names":false,"suffix":""}],"container-title":"Journal of Asian Finance, Economics and Business","id":"ITEM-3","issue":"11","issued":{"date-parts":[["2021"]]},"page":"157-167","title":"Critical Factors Affecting Consumer Intention of Using Mobile Banking Applications During COVID-19 Pandemic : An Empirical Study from Vietnam *","type":"article-journal","volume":"8"},"uris":["http://www.mendeley.com/documents/?uuid=13a5090b-383e-4212-a2b1-644963ac8674"]}],"mendeley":{"formattedCitation":"(Alalwan &amp; Yogesh K. Dwivedi, 2016; V. A. Nguyen et al., 2020; Sang, 2021)","plainTextFormattedCitation":"(Alalwan &amp; Yogesh K. Dwivedi, 2016; V. A. Nguyen et al., 2020; Sang, 2021)","previouslyFormattedCitation":"(A. A. Alalwan &amp; Yogesh K. Dwivedi, 2016; V. A. Nguyen et al., 2020; Sang, 2021)"},"properties":{"noteIndex":0},"schema":"https://github.com/citation-style-language/schema/raw/master/csl-citation.json"}</w:instrText>
      </w:r>
      <w:r w:rsidR="001869A6">
        <w:rPr>
          <w:szCs w:val="24"/>
        </w:rPr>
        <w:fldChar w:fldCharType="separate"/>
      </w:r>
      <w:r w:rsidR="00417C0D" w:rsidRPr="00417C0D">
        <w:rPr>
          <w:noProof/>
          <w:szCs w:val="24"/>
        </w:rPr>
        <w:t>(Alalwan &amp; Yogesh K. Dwivedi, 2016; V. A. Nguyen et al., 2020; Sang, 2021)</w:t>
      </w:r>
      <w:r w:rsidR="001869A6">
        <w:rPr>
          <w:szCs w:val="24"/>
        </w:rPr>
        <w:fldChar w:fldCharType="end"/>
      </w:r>
      <w:r w:rsidR="001869A6">
        <w:rPr>
          <w:szCs w:val="24"/>
        </w:rPr>
        <w:t xml:space="preserve">. </w:t>
      </w:r>
      <w:r>
        <w:rPr>
          <w:szCs w:val="24"/>
        </w:rPr>
        <w:t xml:space="preserve">The trust variable had a coefficient of 0.312, larger than perceived ease of use, usefulness, and risk on intention to use M-Banking. Therefore, intention was more strongly influenced by trust than perceived ease of use, risk, and usefulness. Perceived ease of use and risk were found to have a significant positive impact on usefulness, according to </w:t>
      </w:r>
      <w:r w:rsidR="001869A6">
        <w:rPr>
          <w:szCs w:val="24"/>
        </w:rPr>
        <w:fldChar w:fldCharType="begin" w:fldLock="1"/>
      </w:r>
      <w:r w:rsidR="001E6093">
        <w:rPr>
          <w:szCs w:val="24"/>
        </w:rPr>
        <w:instrText>ADDIN CSL_CITATION {"citationItems":[{"id":"ITEM-1","itemData":{"DOI":"10.1177/2158244019844084","author":[{"dropping-particle":"","family":"Siyal","given":"Abdul Waheed","non-dropping-particle":"","parse-names":false,"suffix":""},{"dropping-particle":"","family":"Donghong","given":"Ding","non-dropping-particle":"","parse-names":false,"suffix":""},{"dropping-particle":"","family":"Umrani","given":"Waheed Ali","non-dropping-particle":"","parse-names":false,"suffix":""},{"dropping-particle":"","family":"Siyal","given":"Saeed","non-dropping-particle":"","parse-names":false,"suffix":""},{"dropping-particle":"","family":"Bhand","given":"Shaharbano","non-dropping-particle":"","parse-names":false,"suffix":""}],"container-title":"Original Research","id":"ITEM-1","issued":{"date-parts":[["2019"]]},"page":"1-21","title":"Predicting Mobile Banking Acceptance and Loyalty in Chinese Bank Customers","type":"article-journal"},"uris":["http://www.mendeley.com/documents/?uuid=b9aa517c-451c-4c01-8242-8415d503e4fc"]}],"mendeley":{"formattedCitation":"(Siyal et al., 2019)","manualFormatting":"Siyal et al., (2019)","plainTextFormattedCitation":"(Siyal et al., 2019)","previouslyFormattedCitation":"(Siyal et al., 2019)"},"properties":{"noteIndex":0},"schema":"https://github.com/citation-style-language/schema/raw/master/csl-citation.json"}</w:instrText>
      </w:r>
      <w:r w:rsidR="001869A6">
        <w:rPr>
          <w:szCs w:val="24"/>
        </w:rPr>
        <w:fldChar w:fldCharType="separate"/>
      </w:r>
      <w:r w:rsidR="001869A6" w:rsidRPr="001869A6">
        <w:rPr>
          <w:noProof/>
          <w:szCs w:val="24"/>
        </w:rPr>
        <w:t xml:space="preserve">Siyal et al., </w:t>
      </w:r>
      <w:r w:rsidR="001869A6">
        <w:rPr>
          <w:noProof/>
          <w:szCs w:val="24"/>
        </w:rPr>
        <w:t>(</w:t>
      </w:r>
      <w:r w:rsidR="001869A6" w:rsidRPr="001869A6">
        <w:rPr>
          <w:noProof/>
          <w:szCs w:val="24"/>
        </w:rPr>
        <w:t>2019)</w:t>
      </w:r>
      <w:r w:rsidR="001869A6">
        <w:rPr>
          <w:szCs w:val="24"/>
        </w:rPr>
        <w:fldChar w:fldCharType="end"/>
      </w:r>
      <w:r>
        <w:rPr>
          <w:szCs w:val="24"/>
        </w:rPr>
        <w:t>. The impact of the variable on usefulness had a coefficient of 0.673, larger than perceived risk with a coefficient of 0.112. In addition, perceived usefulness was more strongly affected by ease of use than risk.</w:t>
      </w:r>
    </w:p>
    <w:p w:rsidR="001E6093" w:rsidRPr="001E6093" w:rsidRDefault="001E6093" w:rsidP="001E6093">
      <w:pPr>
        <w:ind w:firstLine="720"/>
        <w:jc w:val="both"/>
        <w:rPr>
          <w:szCs w:val="24"/>
        </w:rPr>
      </w:pPr>
    </w:p>
    <w:p w:rsidR="00765A3D" w:rsidRDefault="006A5ACA">
      <w:pPr>
        <w:pStyle w:val="Heading1"/>
        <w:numPr>
          <w:ilvl w:val="0"/>
          <w:numId w:val="1"/>
        </w:numPr>
        <w:suppressAutoHyphens/>
        <w:spacing w:after="60"/>
        <w:ind w:left="360"/>
        <w:rPr>
          <w:sz w:val="24"/>
          <w:szCs w:val="24"/>
        </w:rPr>
      </w:pPr>
      <w:r>
        <w:rPr>
          <w:i w:val="0"/>
          <w:iCs/>
          <w:sz w:val="24"/>
          <w:szCs w:val="24"/>
        </w:rPr>
        <w:lastRenderedPageBreak/>
        <w:t>CONCLUSION</w:t>
      </w:r>
    </w:p>
    <w:p w:rsidR="00765A3D" w:rsidRDefault="006A5ACA">
      <w:pPr>
        <w:ind w:firstLine="720"/>
        <w:jc w:val="both"/>
        <w:rPr>
          <w:szCs w:val="24"/>
        </w:rPr>
      </w:pPr>
      <w:r>
        <w:rPr>
          <w:szCs w:val="24"/>
        </w:rPr>
        <w:t>M-Banking plays an important role in providing the financial products and services needed by society in the current digital era. Therefore, this study investigated the factors determining usefulness, trust, and intention to use M-Banking. The empirical findings indicated that perceived usefulness and ease of use had a positive and significant impact on trust. Ease of use and trust were also found to have a positive and significant impact on intention to use M-Banking. Furthermore, perceived risk had a positive and significant impact on intention to use M-Banking. Ease of use, trust, and perceived risk variables had a positive and significant impact on usefulness. The findings indicated that these variables were important aspects for M-Banking users. Therefore, Islamic banks needed to pay attention to these variables to improve usefulness, trust, and acceptance of M-Banking.</w:t>
      </w:r>
    </w:p>
    <w:p w:rsidR="00765A3D" w:rsidRDefault="00765A3D">
      <w:pPr>
        <w:ind w:firstLine="720"/>
        <w:jc w:val="both"/>
        <w:rPr>
          <w:b/>
          <w:szCs w:val="24"/>
        </w:rPr>
      </w:pPr>
    </w:p>
    <w:p w:rsidR="00765A3D" w:rsidRDefault="006A5ACA">
      <w:pPr>
        <w:jc w:val="both"/>
        <w:rPr>
          <w:szCs w:val="24"/>
        </w:rPr>
      </w:pPr>
      <w:r>
        <w:rPr>
          <w:b/>
          <w:szCs w:val="24"/>
        </w:rPr>
        <w:t>ACKNOWLEDGEMENTS</w:t>
      </w:r>
    </w:p>
    <w:p w:rsidR="00765A3D" w:rsidRDefault="006A5ACA">
      <w:pPr>
        <w:ind w:firstLine="720"/>
        <w:jc w:val="both"/>
        <w:rPr>
          <w:szCs w:val="24"/>
        </w:rPr>
      </w:pPr>
      <w:r>
        <w:rPr>
          <w:szCs w:val="24"/>
        </w:rPr>
        <w:t xml:space="preserve">The authors are grateful to all parties who have contributed to the completion of this study, specifically to the Rector of UMJ and LPPM UMJ for the funding and facilities provided. The authors are also grateful to the Faculty of Islamic Studies UMJ and the Management of the Zakat and </w:t>
      </w:r>
      <w:proofErr w:type="spellStart"/>
      <w:r>
        <w:rPr>
          <w:szCs w:val="24"/>
        </w:rPr>
        <w:t>Waqf</w:t>
      </w:r>
      <w:proofErr w:type="spellEnd"/>
      <w:r>
        <w:rPr>
          <w:szCs w:val="24"/>
        </w:rPr>
        <w:t xml:space="preserve"> Program for providing support and facilities.</w:t>
      </w:r>
    </w:p>
    <w:p w:rsidR="00765A3D" w:rsidRDefault="00765A3D">
      <w:pPr>
        <w:rPr>
          <w:sz w:val="22"/>
          <w:szCs w:val="22"/>
        </w:rPr>
      </w:pPr>
    </w:p>
    <w:p w:rsidR="00765A3D" w:rsidRDefault="006A5ACA" w:rsidP="001E6093">
      <w:pPr>
        <w:pStyle w:val="Heading1"/>
        <w:suppressAutoHyphens/>
        <w:spacing w:after="60"/>
        <w:rPr>
          <w:i w:val="0"/>
          <w:sz w:val="22"/>
          <w:szCs w:val="22"/>
        </w:rPr>
      </w:pPr>
      <w:r>
        <w:rPr>
          <w:i w:val="0"/>
          <w:sz w:val="22"/>
          <w:szCs w:val="22"/>
          <w:lang w:val="id-ID"/>
        </w:rPr>
        <w:t>REFERENSI</w:t>
      </w:r>
    </w:p>
    <w:p w:rsidR="00765A3D" w:rsidRDefault="00765A3D" w:rsidP="001E6093">
      <w:pPr>
        <w:spacing w:after="120"/>
        <w:jc w:val="both"/>
        <w:rPr>
          <w:sz w:val="22"/>
          <w:szCs w:val="22"/>
        </w:rPr>
      </w:pPr>
    </w:p>
    <w:p w:rsidR="00417C0D" w:rsidRPr="00417C0D" w:rsidRDefault="001E6093" w:rsidP="00417C0D">
      <w:pPr>
        <w:widowControl w:val="0"/>
        <w:autoSpaceDE w:val="0"/>
        <w:autoSpaceDN w:val="0"/>
        <w:adjustRightInd w:val="0"/>
        <w:spacing w:after="12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417C0D" w:rsidRPr="00417C0D">
        <w:rPr>
          <w:noProof/>
          <w:sz w:val="22"/>
          <w:szCs w:val="24"/>
        </w:rPr>
        <w:t xml:space="preserve">Aji, H. M., Berakon, I., &amp; Riza, A. F. (2020). The e ff ects of subjective norm and knowledge about riba on intention to use e-money in Indonesia. </w:t>
      </w:r>
      <w:r w:rsidR="00417C0D" w:rsidRPr="00417C0D">
        <w:rPr>
          <w:i/>
          <w:iCs/>
          <w:noProof/>
          <w:sz w:val="22"/>
          <w:szCs w:val="24"/>
        </w:rPr>
        <w:t>Journa of Islamic Marketing</w:t>
      </w:r>
      <w:r w:rsidR="00417C0D" w:rsidRPr="00417C0D">
        <w:rPr>
          <w:noProof/>
          <w:sz w:val="22"/>
          <w:szCs w:val="24"/>
        </w:rPr>
        <w:t>. https://doi.org/10.1108/JIMA-10-2019-0203</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Al-Jabri, I. M. (2015). The intention to use mobile banking : Further evidence from Saudi Arabia. </w:t>
      </w:r>
      <w:r w:rsidRPr="00417C0D">
        <w:rPr>
          <w:i/>
          <w:iCs/>
          <w:noProof/>
          <w:sz w:val="22"/>
          <w:szCs w:val="24"/>
        </w:rPr>
        <w:t>South African Journal of Business Management</w:t>
      </w:r>
      <w:r w:rsidRPr="00417C0D">
        <w:rPr>
          <w:noProof/>
          <w:sz w:val="22"/>
          <w:szCs w:val="24"/>
        </w:rPr>
        <w:t xml:space="preserve">, </w:t>
      </w:r>
      <w:r w:rsidRPr="00417C0D">
        <w:rPr>
          <w:i/>
          <w:iCs/>
          <w:noProof/>
          <w:sz w:val="22"/>
          <w:szCs w:val="24"/>
        </w:rPr>
        <w:t>46</w:t>
      </w:r>
      <w:r w:rsidRPr="00417C0D">
        <w:rPr>
          <w:noProof/>
          <w:sz w:val="22"/>
          <w:szCs w:val="24"/>
        </w:rPr>
        <w:t>(1), 23–34.</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Alalwan, A. A., &amp; Yogesh K. Dwivedi, N. P. R. and M. D. W. (2016). Consumer adoption of mobile banking in Jordan : Examining the role of usefulness , ease of use , perceived risk and self-efficacy. </w:t>
      </w:r>
      <w:r w:rsidRPr="00417C0D">
        <w:rPr>
          <w:i/>
          <w:iCs/>
          <w:noProof/>
          <w:sz w:val="22"/>
          <w:szCs w:val="24"/>
        </w:rPr>
        <w:t>Journal of Enterprise Information Management</w:t>
      </w:r>
      <w:r w:rsidRPr="00417C0D">
        <w:rPr>
          <w:noProof/>
          <w:sz w:val="22"/>
          <w:szCs w:val="24"/>
        </w:rPr>
        <w:t xml:space="preserve">, </w:t>
      </w:r>
      <w:r w:rsidRPr="00417C0D">
        <w:rPr>
          <w:i/>
          <w:iCs/>
          <w:noProof/>
          <w:sz w:val="22"/>
          <w:szCs w:val="24"/>
        </w:rPr>
        <w:t>29</w:t>
      </w:r>
      <w:r w:rsidRPr="00417C0D">
        <w:rPr>
          <w:noProof/>
          <w:sz w:val="22"/>
          <w:szCs w:val="24"/>
        </w:rPr>
        <w:t>(1), 118–139.</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Anggraeni, R., Hapsari, R., &amp; Muslim, N. A. (2021). Examining Factors Influencing Consumers Intention and Usage of Digital Banking: Evidence from Indonesian Digital Banking Customers. </w:t>
      </w:r>
      <w:r w:rsidRPr="00417C0D">
        <w:rPr>
          <w:i/>
          <w:iCs/>
          <w:noProof/>
          <w:sz w:val="22"/>
          <w:szCs w:val="24"/>
        </w:rPr>
        <w:t>Asia Pacific Management and Business Application</w:t>
      </w:r>
      <w:r w:rsidRPr="00417C0D">
        <w:rPr>
          <w:noProof/>
          <w:sz w:val="22"/>
          <w:szCs w:val="24"/>
        </w:rPr>
        <w:t xml:space="preserve">, </w:t>
      </w:r>
      <w:r w:rsidRPr="00417C0D">
        <w:rPr>
          <w:i/>
          <w:iCs/>
          <w:noProof/>
          <w:sz w:val="22"/>
          <w:szCs w:val="24"/>
        </w:rPr>
        <w:t>009</w:t>
      </w:r>
      <w:r w:rsidRPr="00417C0D">
        <w:rPr>
          <w:noProof/>
          <w:sz w:val="22"/>
          <w:szCs w:val="24"/>
        </w:rPr>
        <w:t>(03), 193–210. https://doi.org/10.21776/ub.apmba.2021.009.03.1</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Chao, C. M. (2019). Factors determining the behavioral intention to use mobile learning: An application and extension of the UTAUT model. </w:t>
      </w:r>
      <w:r w:rsidRPr="00417C0D">
        <w:rPr>
          <w:i/>
          <w:iCs/>
          <w:noProof/>
          <w:sz w:val="22"/>
          <w:szCs w:val="24"/>
        </w:rPr>
        <w:t>Frontiers in Psychology</w:t>
      </w:r>
      <w:r w:rsidRPr="00417C0D">
        <w:rPr>
          <w:noProof/>
          <w:sz w:val="22"/>
          <w:szCs w:val="24"/>
        </w:rPr>
        <w:t xml:space="preserve">, </w:t>
      </w:r>
      <w:r w:rsidRPr="00417C0D">
        <w:rPr>
          <w:i/>
          <w:iCs/>
          <w:noProof/>
          <w:sz w:val="22"/>
          <w:szCs w:val="24"/>
        </w:rPr>
        <w:t>10</w:t>
      </w:r>
      <w:r w:rsidRPr="00417C0D">
        <w:rPr>
          <w:noProof/>
          <w:sz w:val="22"/>
          <w:szCs w:val="24"/>
        </w:rPr>
        <w:t>, 1–14. https://doi.org/10.3389/fpsyg.2019.01652</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Ghozali, I., &amp; Latan, H. (2015). </w:t>
      </w:r>
      <w:r w:rsidRPr="00417C0D">
        <w:rPr>
          <w:i/>
          <w:iCs/>
          <w:noProof/>
          <w:sz w:val="22"/>
          <w:szCs w:val="24"/>
        </w:rPr>
        <w:t>Partial Least Square : Konsep, Teknik dan Aplikasi Menggunakan Program SmartPls 3.0 untuk Penelitian Empiris</w:t>
      </w:r>
      <w:r w:rsidRPr="00417C0D">
        <w:rPr>
          <w:noProof/>
          <w:sz w:val="22"/>
          <w:szCs w:val="24"/>
        </w:rPr>
        <w:t>. Universitas Diponegoro Semarang.</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Haider, M. J., Changchun, G., Akram, T., &amp; Hussain, S. T. (2018). Does gender differences play any role in intention to adopt Islamic mobile banking in Pakistan?: An empirical study. </w:t>
      </w:r>
      <w:r w:rsidRPr="00417C0D">
        <w:rPr>
          <w:i/>
          <w:iCs/>
          <w:noProof/>
          <w:sz w:val="22"/>
          <w:szCs w:val="24"/>
        </w:rPr>
        <w:t>Journal of Islamic Marketing</w:t>
      </w:r>
      <w:r w:rsidRPr="00417C0D">
        <w:rPr>
          <w:noProof/>
          <w:sz w:val="22"/>
          <w:szCs w:val="24"/>
        </w:rPr>
        <w:t xml:space="preserve">, </w:t>
      </w:r>
      <w:r w:rsidRPr="00417C0D">
        <w:rPr>
          <w:i/>
          <w:iCs/>
          <w:noProof/>
          <w:sz w:val="22"/>
          <w:szCs w:val="24"/>
        </w:rPr>
        <w:t>9</w:t>
      </w:r>
      <w:r w:rsidRPr="00417C0D">
        <w:rPr>
          <w:noProof/>
          <w:sz w:val="22"/>
          <w:szCs w:val="24"/>
        </w:rPr>
        <w:t>(2), 439–460. https://doi.org/10.1108/JIMA-11-2016-0082</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lastRenderedPageBreak/>
        <w:t xml:space="preserve">Hair, J. F., Ringle, C. M., &amp; Sarstedt, M. (2011). PLS-SEM: Indeed a Silver Bullet. </w:t>
      </w:r>
      <w:r w:rsidRPr="00417C0D">
        <w:rPr>
          <w:i/>
          <w:iCs/>
          <w:noProof/>
          <w:sz w:val="22"/>
          <w:szCs w:val="24"/>
        </w:rPr>
        <w:t>Journal of Marketing Theory and Practice</w:t>
      </w:r>
      <w:r w:rsidRPr="00417C0D">
        <w:rPr>
          <w:noProof/>
          <w:sz w:val="22"/>
          <w:szCs w:val="24"/>
        </w:rPr>
        <w:t xml:space="preserve">, </w:t>
      </w:r>
      <w:r w:rsidRPr="00417C0D">
        <w:rPr>
          <w:i/>
          <w:iCs/>
          <w:noProof/>
          <w:sz w:val="22"/>
          <w:szCs w:val="24"/>
        </w:rPr>
        <w:t>19</w:t>
      </w:r>
      <w:r w:rsidRPr="00417C0D">
        <w:rPr>
          <w:noProof/>
          <w:sz w:val="22"/>
          <w:szCs w:val="24"/>
        </w:rPr>
        <w:t>(2), 139–152. https://doi.org/10.2753/MTP1069-6679190202</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Hanafizadeh, P., Behboudi, M., Abedini, A., Jalilvand, M., &amp; Tabar, S. (2014). Mobile-banking adoption by Iranian bank clients. </w:t>
      </w:r>
      <w:r w:rsidRPr="00417C0D">
        <w:rPr>
          <w:i/>
          <w:iCs/>
          <w:noProof/>
          <w:sz w:val="22"/>
          <w:szCs w:val="24"/>
        </w:rPr>
        <w:t>Telematics and Informatics</w:t>
      </w:r>
      <w:r w:rsidRPr="00417C0D">
        <w:rPr>
          <w:noProof/>
          <w:sz w:val="22"/>
          <w:szCs w:val="24"/>
        </w:rPr>
        <w:t xml:space="preserve">, </w:t>
      </w:r>
      <w:r w:rsidRPr="00417C0D">
        <w:rPr>
          <w:i/>
          <w:iCs/>
          <w:noProof/>
          <w:sz w:val="22"/>
          <w:szCs w:val="24"/>
        </w:rPr>
        <w:t>31</w:t>
      </w:r>
      <w:r w:rsidRPr="00417C0D">
        <w:rPr>
          <w:noProof/>
          <w:sz w:val="22"/>
          <w:szCs w:val="24"/>
        </w:rPr>
        <w:t>(1), 62–78. https://doi.org/10.1016/j.tele.2012.11.001</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Jouda, H. (2020). Expanding TAM and Investigating the Factors that Effect Consumer Intention to Adopt Mobile Banking in Palestina. </w:t>
      </w:r>
      <w:r w:rsidRPr="00417C0D">
        <w:rPr>
          <w:i/>
          <w:iCs/>
          <w:noProof/>
          <w:sz w:val="22"/>
          <w:szCs w:val="24"/>
        </w:rPr>
        <w:t>Financial Internet Quartely</w:t>
      </w:r>
      <w:r w:rsidRPr="00417C0D">
        <w:rPr>
          <w:noProof/>
          <w:sz w:val="22"/>
          <w:szCs w:val="24"/>
        </w:rPr>
        <w:t xml:space="preserve">, </w:t>
      </w:r>
      <w:r w:rsidRPr="00417C0D">
        <w:rPr>
          <w:i/>
          <w:iCs/>
          <w:noProof/>
          <w:sz w:val="22"/>
          <w:szCs w:val="24"/>
        </w:rPr>
        <w:t>16</w:t>
      </w:r>
      <w:r w:rsidRPr="00417C0D">
        <w:rPr>
          <w:noProof/>
          <w:sz w:val="22"/>
          <w:szCs w:val="24"/>
        </w:rPr>
        <w:t>(3), 29–50. https://doi.org/10.2478/fiqf</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Kholid, M. N. (2019). Determinants of intention to use Islamic mobile banking: Evidence from millennial generation. </w:t>
      </w:r>
      <w:r w:rsidRPr="00417C0D">
        <w:rPr>
          <w:i/>
          <w:iCs/>
          <w:noProof/>
          <w:sz w:val="22"/>
          <w:szCs w:val="24"/>
        </w:rPr>
        <w:t>Jurnal Ekonomi &amp; Keuangan Islam</w:t>
      </w:r>
      <w:r w:rsidRPr="00417C0D">
        <w:rPr>
          <w:noProof/>
          <w:sz w:val="22"/>
          <w:szCs w:val="24"/>
        </w:rPr>
        <w:t xml:space="preserve">, </w:t>
      </w:r>
      <w:r w:rsidRPr="00417C0D">
        <w:rPr>
          <w:i/>
          <w:iCs/>
          <w:noProof/>
          <w:sz w:val="22"/>
          <w:szCs w:val="24"/>
        </w:rPr>
        <w:t>5</w:t>
      </w:r>
      <w:r w:rsidRPr="00417C0D">
        <w:rPr>
          <w:noProof/>
          <w:sz w:val="22"/>
          <w:szCs w:val="24"/>
        </w:rPr>
        <w:t>(2), 53–62. https://doi.org/10.20885/jeki.vol5.iss2.art2</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Kumar, A., Dhingra, S., Batra, V., &amp; Purohit, H. (2020). A framework of mobile banking adoption in India A Framework of Mobile Banking Adoption in India. </w:t>
      </w:r>
      <w:r w:rsidRPr="00417C0D">
        <w:rPr>
          <w:i/>
          <w:iCs/>
          <w:noProof/>
          <w:sz w:val="22"/>
          <w:szCs w:val="24"/>
        </w:rPr>
        <w:t>Journal of Open Innovation: Technology, Market, and Complexity</w:t>
      </w:r>
      <w:r w:rsidRPr="00417C0D">
        <w:rPr>
          <w:noProof/>
          <w:sz w:val="22"/>
          <w:szCs w:val="24"/>
        </w:rPr>
        <w:t xml:space="preserve">, </w:t>
      </w:r>
      <w:r w:rsidRPr="00417C0D">
        <w:rPr>
          <w:i/>
          <w:iCs/>
          <w:noProof/>
          <w:sz w:val="22"/>
          <w:szCs w:val="24"/>
        </w:rPr>
        <w:t>6</w:t>
      </w:r>
      <w:r w:rsidRPr="00417C0D">
        <w:rPr>
          <w:noProof/>
          <w:sz w:val="22"/>
          <w:szCs w:val="24"/>
        </w:rPr>
        <w:t>(40), 0–17.</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Kumar, S., Leonie, A., &amp; Yukita, K. (2021). Millennials Behavioral Intention in Using Mobile Banking : Integrating Perceived Risk and Trust into TAM ( A Survey in Jawa Barat ). </w:t>
      </w:r>
      <w:r w:rsidRPr="00417C0D">
        <w:rPr>
          <w:i/>
          <w:iCs/>
          <w:noProof/>
          <w:sz w:val="22"/>
          <w:szCs w:val="24"/>
        </w:rPr>
        <w:t>Proceedings of the International Conference on Business and Engineering Management (ICONBEM 2021) Millennials</w:t>
      </w:r>
      <w:r w:rsidRPr="00417C0D">
        <w:rPr>
          <w:noProof/>
          <w:sz w:val="22"/>
          <w:szCs w:val="24"/>
        </w:rPr>
        <w:t xml:space="preserve">, </w:t>
      </w:r>
      <w:r w:rsidRPr="00417C0D">
        <w:rPr>
          <w:i/>
          <w:iCs/>
          <w:noProof/>
          <w:sz w:val="22"/>
          <w:szCs w:val="24"/>
        </w:rPr>
        <w:t>177</w:t>
      </w:r>
      <w:r w:rsidRPr="00417C0D">
        <w:rPr>
          <w:noProof/>
          <w:sz w:val="22"/>
          <w:szCs w:val="24"/>
        </w:rPr>
        <w:t>, 210–217.</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Mutahar, A. M., Isaac, O., Ghosh, A., &amp; Al-shibami, A. H. (2018). Perceived Value as Moderator Variabel in Mobile Banking Context : an Extension of Technology Acceptance Model. </w:t>
      </w:r>
      <w:r w:rsidRPr="00417C0D">
        <w:rPr>
          <w:i/>
          <w:iCs/>
          <w:noProof/>
          <w:sz w:val="22"/>
          <w:szCs w:val="24"/>
        </w:rPr>
        <w:t>International Journal of Management and Human Science</w:t>
      </w:r>
      <w:r w:rsidRPr="00417C0D">
        <w:rPr>
          <w:noProof/>
          <w:sz w:val="22"/>
          <w:szCs w:val="24"/>
        </w:rPr>
        <w:t xml:space="preserve">, </w:t>
      </w:r>
      <w:r w:rsidRPr="00417C0D">
        <w:rPr>
          <w:i/>
          <w:iCs/>
          <w:noProof/>
          <w:sz w:val="22"/>
          <w:szCs w:val="24"/>
        </w:rPr>
        <w:t>2</w:t>
      </w:r>
      <w:r w:rsidRPr="00417C0D">
        <w:rPr>
          <w:noProof/>
          <w:sz w:val="22"/>
          <w:szCs w:val="24"/>
        </w:rPr>
        <w:t>(1), 1–8.</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Nguyen, T. D., Nguyen, T. Q. L., Nguyen, T. V., &amp; Tran, T. D. T. (2020). Intention to Use M-Banking : The Role of E -WOM. </w:t>
      </w:r>
      <w:r w:rsidRPr="00417C0D">
        <w:rPr>
          <w:i/>
          <w:iCs/>
          <w:noProof/>
          <w:sz w:val="22"/>
          <w:szCs w:val="24"/>
        </w:rPr>
        <w:t>Advances in Intelligent Systems and Computing</w:t>
      </w:r>
      <w:r w:rsidRPr="00417C0D">
        <w:rPr>
          <w:noProof/>
          <w:sz w:val="22"/>
          <w:szCs w:val="24"/>
        </w:rPr>
        <w:t>. https://doi.org/10.1007/978-3-030-16657-1</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Nguyen, V. A., Phuong, T., &amp; Nguyen, T. (2020). An Integrated Model of CSR Perception and TAM on Intention to Adopt Mobile Banking. </w:t>
      </w:r>
      <w:r w:rsidRPr="00417C0D">
        <w:rPr>
          <w:i/>
          <w:iCs/>
          <w:noProof/>
          <w:sz w:val="22"/>
          <w:szCs w:val="24"/>
        </w:rPr>
        <w:t>Journal of Asian Finance, Economics and Business</w:t>
      </w:r>
      <w:r w:rsidRPr="00417C0D">
        <w:rPr>
          <w:noProof/>
          <w:sz w:val="22"/>
          <w:szCs w:val="24"/>
        </w:rPr>
        <w:t xml:space="preserve">, </w:t>
      </w:r>
      <w:r w:rsidRPr="00417C0D">
        <w:rPr>
          <w:i/>
          <w:iCs/>
          <w:noProof/>
          <w:sz w:val="22"/>
          <w:szCs w:val="24"/>
        </w:rPr>
        <w:t>7</w:t>
      </w:r>
      <w:r w:rsidRPr="00417C0D">
        <w:rPr>
          <w:noProof/>
          <w:sz w:val="22"/>
          <w:szCs w:val="24"/>
        </w:rPr>
        <w:t>(12), 1073–1087. https://doi.org/10.13106/jafeb.2020.vol7.no12.1073</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Nuangjamnong, C. (2021). Investigation of Factors Influencing Students ’ Intention to Use Ba</w:t>
      </w:r>
      <w:bookmarkStart w:id="1" w:name="_GoBack"/>
      <w:bookmarkEnd w:id="1"/>
      <w:r w:rsidRPr="00417C0D">
        <w:rPr>
          <w:noProof/>
          <w:sz w:val="22"/>
          <w:szCs w:val="24"/>
        </w:rPr>
        <w:t xml:space="preserve">nking Services through Smartphone Devices during COVID-19 Pandemic. </w:t>
      </w:r>
      <w:r w:rsidRPr="00417C0D">
        <w:rPr>
          <w:i/>
          <w:iCs/>
          <w:noProof/>
          <w:sz w:val="22"/>
          <w:szCs w:val="24"/>
        </w:rPr>
        <w:t>International Journal of Economics and Business Administration</w:t>
      </w:r>
      <w:r w:rsidRPr="00417C0D">
        <w:rPr>
          <w:noProof/>
          <w:sz w:val="22"/>
          <w:szCs w:val="24"/>
        </w:rPr>
        <w:t xml:space="preserve">, </w:t>
      </w:r>
      <w:r w:rsidRPr="00417C0D">
        <w:rPr>
          <w:i/>
          <w:iCs/>
          <w:noProof/>
          <w:sz w:val="22"/>
          <w:szCs w:val="24"/>
        </w:rPr>
        <w:t>9</w:t>
      </w:r>
      <w:r w:rsidRPr="00417C0D">
        <w:rPr>
          <w:noProof/>
          <w:sz w:val="22"/>
          <w:szCs w:val="24"/>
        </w:rPr>
        <w:t>(1), 331–346.</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OJK. (2020). Cetak Biru Transformasi Digital Perbankan. </w:t>
      </w:r>
      <w:r w:rsidRPr="00417C0D">
        <w:rPr>
          <w:i/>
          <w:iCs/>
          <w:noProof/>
          <w:sz w:val="22"/>
          <w:szCs w:val="24"/>
        </w:rPr>
        <w:t>Ojk</w:t>
      </w:r>
      <w:r w:rsidRPr="00417C0D">
        <w:rPr>
          <w:noProof/>
          <w:sz w:val="22"/>
          <w:szCs w:val="24"/>
        </w:rPr>
        <w:t xml:space="preserve">, </w:t>
      </w:r>
      <w:r w:rsidRPr="00417C0D">
        <w:rPr>
          <w:i/>
          <w:iCs/>
          <w:noProof/>
          <w:sz w:val="22"/>
          <w:szCs w:val="24"/>
        </w:rPr>
        <w:t>13</w:t>
      </w:r>
      <w:r w:rsidRPr="00417C0D">
        <w:rPr>
          <w:noProof/>
          <w:sz w:val="22"/>
          <w:szCs w:val="24"/>
        </w:rPr>
        <w:t>(April), 1–54.</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Ramli, Y., Harwani, Y., Soelton, M., Hariani, S., &amp; Usman, F. (2021). The Implication of Trust that Influences Customers ’ Intention to Use Mobile Banking. </w:t>
      </w:r>
      <w:r w:rsidRPr="00417C0D">
        <w:rPr>
          <w:i/>
          <w:iCs/>
          <w:noProof/>
          <w:sz w:val="22"/>
          <w:szCs w:val="24"/>
        </w:rPr>
        <w:t>Journal of Asian Finance, Economics and Business</w:t>
      </w:r>
      <w:r w:rsidRPr="00417C0D">
        <w:rPr>
          <w:noProof/>
          <w:sz w:val="22"/>
          <w:szCs w:val="24"/>
        </w:rPr>
        <w:t xml:space="preserve">, </w:t>
      </w:r>
      <w:r w:rsidRPr="00417C0D">
        <w:rPr>
          <w:i/>
          <w:iCs/>
          <w:noProof/>
          <w:sz w:val="22"/>
          <w:szCs w:val="24"/>
        </w:rPr>
        <w:t>8</w:t>
      </w:r>
      <w:r w:rsidRPr="00417C0D">
        <w:rPr>
          <w:noProof/>
          <w:sz w:val="22"/>
          <w:szCs w:val="24"/>
        </w:rPr>
        <w:t>(1), 353–361. https://doi.org/10.13106/jafeb.2021.vol8.no1.353</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Raza, S. A., Shah, N., &amp; Ali, M. (2018). Acceptance of mobile banking in Islamic banks: evidence from modified UTAUT model. </w:t>
      </w:r>
      <w:r w:rsidRPr="00417C0D">
        <w:rPr>
          <w:i/>
          <w:iCs/>
          <w:noProof/>
          <w:sz w:val="22"/>
          <w:szCs w:val="24"/>
        </w:rPr>
        <w:t>Journal of Islamic Marketing</w:t>
      </w:r>
      <w:r w:rsidRPr="00417C0D">
        <w:rPr>
          <w:noProof/>
          <w:sz w:val="22"/>
          <w:szCs w:val="24"/>
        </w:rPr>
        <w:t xml:space="preserve">, </w:t>
      </w:r>
      <w:r w:rsidRPr="00417C0D">
        <w:rPr>
          <w:i/>
          <w:iCs/>
          <w:noProof/>
          <w:sz w:val="22"/>
          <w:szCs w:val="24"/>
        </w:rPr>
        <w:t>10</w:t>
      </w:r>
      <w:r w:rsidRPr="00417C0D">
        <w:rPr>
          <w:noProof/>
          <w:sz w:val="22"/>
          <w:szCs w:val="24"/>
        </w:rPr>
        <w:t>(1), 357–376. https://doi.org/10.1108/JIMA-04-2017-0038</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Riptiono, S., Susanti, D. N., Rhamdhani, I. M., Anggraeni, A. I., &amp; Prasetyo, A. (2021). Parsing religiosity and intention to use Islamic mobile banking in Indonesia. </w:t>
      </w:r>
      <w:r w:rsidRPr="00417C0D">
        <w:rPr>
          <w:i/>
          <w:iCs/>
          <w:noProof/>
          <w:sz w:val="22"/>
          <w:szCs w:val="24"/>
        </w:rPr>
        <w:t>Bank and Bank System</w:t>
      </w:r>
      <w:r w:rsidRPr="00417C0D">
        <w:rPr>
          <w:noProof/>
          <w:sz w:val="22"/>
          <w:szCs w:val="24"/>
        </w:rPr>
        <w:t xml:space="preserve">, </w:t>
      </w:r>
      <w:r w:rsidRPr="00417C0D">
        <w:rPr>
          <w:i/>
          <w:iCs/>
          <w:noProof/>
          <w:sz w:val="22"/>
          <w:szCs w:val="24"/>
        </w:rPr>
        <w:t>16</w:t>
      </w:r>
      <w:r w:rsidRPr="00417C0D">
        <w:rPr>
          <w:noProof/>
          <w:sz w:val="22"/>
          <w:szCs w:val="24"/>
        </w:rPr>
        <w:t>(4), 34–44. https://doi.org/10.21511/bbs.16(4).2021.04</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Salmah, R. (2021). Pendapatan, Pendidikan, Persepsi Kemudahan, dan Sikap sebagai Mediasi terhadap Keputusan Penggunaan Mobile Banking Syari’ah. </w:t>
      </w:r>
      <w:r w:rsidRPr="00417C0D">
        <w:rPr>
          <w:i/>
          <w:iCs/>
          <w:noProof/>
          <w:sz w:val="22"/>
          <w:szCs w:val="24"/>
        </w:rPr>
        <w:t>Jurnal Ilmiah Ekonomi Islam</w:t>
      </w:r>
      <w:r w:rsidRPr="00417C0D">
        <w:rPr>
          <w:noProof/>
          <w:sz w:val="22"/>
          <w:szCs w:val="24"/>
        </w:rPr>
        <w:t xml:space="preserve">, </w:t>
      </w:r>
      <w:r w:rsidRPr="00417C0D">
        <w:rPr>
          <w:i/>
          <w:iCs/>
          <w:noProof/>
          <w:sz w:val="22"/>
          <w:szCs w:val="24"/>
        </w:rPr>
        <w:t>7</w:t>
      </w:r>
      <w:r w:rsidRPr="00417C0D">
        <w:rPr>
          <w:noProof/>
          <w:sz w:val="22"/>
          <w:szCs w:val="24"/>
        </w:rPr>
        <w:t>(2), 798–805. https://doi.org/10.29040/jiei.v7i2.2473</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lastRenderedPageBreak/>
        <w:t xml:space="preserve">Sang, N. M. (2021). Critical Factors Affecting Consumer Intention of Using Mobile Banking Applications During COVID-19 Pandemic : An Empirical Study from Vietnam *. </w:t>
      </w:r>
      <w:r w:rsidRPr="00417C0D">
        <w:rPr>
          <w:i/>
          <w:iCs/>
          <w:noProof/>
          <w:sz w:val="22"/>
          <w:szCs w:val="24"/>
        </w:rPr>
        <w:t>Journal of Asian Finance, Economics and Business</w:t>
      </w:r>
      <w:r w:rsidRPr="00417C0D">
        <w:rPr>
          <w:noProof/>
          <w:sz w:val="22"/>
          <w:szCs w:val="24"/>
        </w:rPr>
        <w:t xml:space="preserve">, </w:t>
      </w:r>
      <w:r w:rsidRPr="00417C0D">
        <w:rPr>
          <w:i/>
          <w:iCs/>
          <w:noProof/>
          <w:sz w:val="22"/>
          <w:szCs w:val="24"/>
        </w:rPr>
        <w:t>8</w:t>
      </w:r>
      <w:r w:rsidRPr="00417C0D">
        <w:rPr>
          <w:noProof/>
          <w:sz w:val="22"/>
          <w:szCs w:val="24"/>
        </w:rPr>
        <w:t>(11), 157–167. https://doi.org/10.13106/jafeb.2021.vol8.no11.0157</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Singh, S. &amp;, &amp; Srivastava, R. . (2016). Predicting the Intention to Use Mobile Banking in India Introduction. </w:t>
      </w:r>
      <w:r w:rsidRPr="00417C0D">
        <w:rPr>
          <w:i/>
          <w:iCs/>
          <w:noProof/>
          <w:sz w:val="22"/>
          <w:szCs w:val="24"/>
        </w:rPr>
        <w:t>International Journal of Bank Marketing</w:t>
      </w:r>
      <w:r w:rsidRPr="00417C0D">
        <w:rPr>
          <w:noProof/>
          <w:sz w:val="22"/>
          <w:szCs w:val="24"/>
        </w:rPr>
        <w:t>. https://doi.org/, https://doi.org/10.1108/IJBM-12-2016-0186</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Siyal, A. W., Donghong, D., Umrani, W. A., Siyal, S., &amp; Bhand, S. (2019). Predicting Mobile Banking Acceptance and Loyalty in Chinese Bank Customers. </w:t>
      </w:r>
      <w:r w:rsidRPr="00417C0D">
        <w:rPr>
          <w:i/>
          <w:iCs/>
          <w:noProof/>
          <w:sz w:val="22"/>
          <w:szCs w:val="24"/>
        </w:rPr>
        <w:t>Original Research</w:t>
      </w:r>
      <w:r w:rsidRPr="00417C0D">
        <w:rPr>
          <w:noProof/>
          <w:sz w:val="22"/>
          <w:szCs w:val="24"/>
        </w:rPr>
        <w:t>, 1–21. https://doi.org/10.1177/2158244019844084</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Sudarsono, H., Kholid, M. N., Trisanty, A., Ash Shidiqie, J. S., &amp; Suseno, P. (2022). Examining the adoption of mobile banking : Empirical evidence from Indonesian Muslim students. </w:t>
      </w:r>
      <w:r w:rsidRPr="00417C0D">
        <w:rPr>
          <w:i/>
          <w:iCs/>
          <w:noProof/>
          <w:sz w:val="22"/>
          <w:szCs w:val="24"/>
        </w:rPr>
        <w:t>Bank and Bank System</w:t>
      </w:r>
      <w:r w:rsidRPr="00417C0D">
        <w:rPr>
          <w:noProof/>
          <w:sz w:val="22"/>
          <w:szCs w:val="24"/>
        </w:rPr>
        <w:t xml:space="preserve">, </w:t>
      </w:r>
      <w:r w:rsidRPr="00417C0D">
        <w:rPr>
          <w:i/>
          <w:iCs/>
          <w:noProof/>
          <w:sz w:val="22"/>
          <w:szCs w:val="24"/>
        </w:rPr>
        <w:t>17</w:t>
      </w:r>
      <w:r w:rsidRPr="00417C0D">
        <w:rPr>
          <w:noProof/>
          <w:sz w:val="22"/>
          <w:szCs w:val="24"/>
        </w:rPr>
        <w:t>(2). https://doi.org/10.21511/bbs.17(2).2022.12</w:t>
      </w:r>
    </w:p>
    <w:p w:rsidR="00417C0D" w:rsidRPr="00417C0D" w:rsidRDefault="00417C0D" w:rsidP="00417C0D">
      <w:pPr>
        <w:widowControl w:val="0"/>
        <w:autoSpaceDE w:val="0"/>
        <w:autoSpaceDN w:val="0"/>
        <w:adjustRightInd w:val="0"/>
        <w:spacing w:after="120"/>
        <w:ind w:left="480" w:hanging="480"/>
        <w:rPr>
          <w:noProof/>
          <w:sz w:val="22"/>
          <w:szCs w:val="24"/>
        </w:rPr>
      </w:pPr>
      <w:r w:rsidRPr="00417C0D">
        <w:rPr>
          <w:noProof/>
          <w:sz w:val="22"/>
          <w:szCs w:val="24"/>
        </w:rPr>
        <w:t xml:space="preserve">Sukmawati, H., Farizal Rasyid, A., &amp; Rachma Kurniaputri, M. (2021). Penerimaan dan Penggunaan Layanan Mobile Banking Perbankan Syariah: Ekstensi Technology Acceptance Model. </w:t>
      </w:r>
      <w:r w:rsidRPr="00417C0D">
        <w:rPr>
          <w:i/>
          <w:iCs/>
          <w:noProof/>
          <w:sz w:val="22"/>
          <w:szCs w:val="24"/>
        </w:rPr>
        <w:t>Jurnal Ilmiah Ekonomi Islam</w:t>
      </w:r>
      <w:r w:rsidRPr="00417C0D">
        <w:rPr>
          <w:noProof/>
          <w:sz w:val="22"/>
          <w:szCs w:val="24"/>
        </w:rPr>
        <w:t xml:space="preserve">, </w:t>
      </w:r>
      <w:r w:rsidRPr="00417C0D">
        <w:rPr>
          <w:i/>
          <w:iCs/>
          <w:noProof/>
          <w:sz w:val="22"/>
          <w:szCs w:val="24"/>
        </w:rPr>
        <w:t>7</w:t>
      </w:r>
      <w:r w:rsidRPr="00417C0D">
        <w:rPr>
          <w:noProof/>
          <w:sz w:val="22"/>
          <w:szCs w:val="24"/>
        </w:rPr>
        <w:t>(03), 1845–1857. http://jurnal.stie-aas.ac.id/index.php/jiedoi:http://dx.doi.org/10.29040/jiei.v7i3.3615</w:t>
      </w:r>
    </w:p>
    <w:p w:rsidR="00417C0D" w:rsidRPr="00417C0D" w:rsidRDefault="00417C0D" w:rsidP="00417C0D">
      <w:pPr>
        <w:widowControl w:val="0"/>
        <w:autoSpaceDE w:val="0"/>
        <w:autoSpaceDN w:val="0"/>
        <w:adjustRightInd w:val="0"/>
        <w:spacing w:after="120"/>
        <w:ind w:left="480" w:hanging="480"/>
        <w:rPr>
          <w:noProof/>
          <w:sz w:val="22"/>
        </w:rPr>
      </w:pPr>
      <w:r w:rsidRPr="00417C0D">
        <w:rPr>
          <w:noProof/>
          <w:sz w:val="22"/>
          <w:szCs w:val="24"/>
        </w:rPr>
        <w:t xml:space="preserve">Zarnadze, G. (2021). The impact of WOM on the acceptance of mobile banking. </w:t>
      </w:r>
      <w:r w:rsidRPr="00417C0D">
        <w:rPr>
          <w:i/>
          <w:iCs/>
          <w:noProof/>
          <w:sz w:val="22"/>
          <w:szCs w:val="24"/>
        </w:rPr>
        <w:t>Proceedings of the 15th International Conference on Business Excellence</w:t>
      </w:r>
      <w:r w:rsidRPr="00417C0D">
        <w:rPr>
          <w:noProof/>
          <w:sz w:val="22"/>
          <w:szCs w:val="24"/>
        </w:rPr>
        <w:t>. https://doi.org/10.2478/picbe-2021-0035</w:t>
      </w:r>
    </w:p>
    <w:p w:rsidR="00765A3D" w:rsidRDefault="001E6093" w:rsidP="00417C0D">
      <w:pPr>
        <w:widowControl w:val="0"/>
        <w:autoSpaceDE w:val="0"/>
        <w:autoSpaceDN w:val="0"/>
        <w:adjustRightInd w:val="0"/>
        <w:spacing w:after="120"/>
        <w:ind w:left="480" w:hanging="480"/>
        <w:rPr>
          <w:sz w:val="22"/>
          <w:szCs w:val="22"/>
        </w:rPr>
      </w:pPr>
      <w:r>
        <w:rPr>
          <w:sz w:val="22"/>
          <w:szCs w:val="22"/>
        </w:rPr>
        <w:fldChar w:fldCharType="end"/>
      </w:r>
    </w:p>
    <w:sectPr w:rsidR="00765A3D">
      <w:headerReference w:type="default" r:id="rId11"/>
      <w:footerReference w:type="default" r:id="rId12"/>
      <w:type w:val="continuous"/>
      <w:pgSz w:w="11909" w:h="16834"/>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6F" w:rsidRDefault="0006396F">
      <w:r>
        <w:separator/>
      </w:r>
    </w:p>
  </w:endnote>
  <w:endnote w:type="continuationSeparator" w:id="0">
    <w:p w:rsidR="0006396F" w:rsidRDefault="0006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AutoText"/>
      </w:docPartObj>
    </w:sdtPr>
    <w:sdtEndPr/>
    <w:sdtContent>
      <w:p w:rsidR="006A5ACA" w:rsidRDefault="006A5ACA">
        <w:pPr>
          <w:pStyle w:val="Footer"/>
          <w:jc w:val="right"/>
        </w:pPr>
        <w:r>
          <w:fldChar w:fldCharType="begin"/>
        </w:r>
        <w:r>
          <w:instrText xml:space="preserve"> PAGE   \* MERGEFORMAT </w:instrText>
        </w:r>
        <w:r>
          <w:fldChar w:fldCharType="separate"/>
        </w:r>
        <w:r w:rsidR="007105B6">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6F" w:rsidRDefault="0006396F">
      <w:r>
        <w:separator/>
      </w:r>
    </w:p>
  </w:footnote>
  <w:footnote w:type="continuationSeparator" w:id="0">
    <w:p w:rsidR="0006396F" w:rsidRDefault="00063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ACA" w:rsidRDefault="006A5ACA">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656C8"/>
    <w:multiLevelType w:val="multilevel"/>
    <w:tmpl w:val="65B656C8"/>
    <w:lvl w:ilvl="0">
      <w:start w:val="1"/>
      <w:numFmt w:val="decimal"/>
      <w:lvlText w:val="%1."/>
      <w:lvlJc w:val="left"/>
      <w:pPr>
        <w:ind w:left="1800" w:hanging="360"/>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324B0"/>
    <w:rsid w:val="0006396F"/>
    <w:rsid w:val="00136193"/>
    <w:rsid w:val="001419FC"/>
    <w:rsid w:val="001869A6"/>
    <w:rsid w:val="001B277F"/>
    <w:rsid w:val="001D0642"/>
    <w:rsid w:val="001E6093"/>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17C0D"/>
    <w:rsid w:val="00467D33"/>
    <w:rsid w:val="00477C32"/>
    <w:rsid w:val="00482F53"/>
    <w:rsid w:val="004A6B49"/>
    <w:rsid w:val="004B7814"/>
    <w:rsid w:val="004C5327"/>
    <w:rsid w:val="00541D2A"/>
    <w:rsid w:val="005570BC"/>
    <w:rsid w:val="00575733"/>
    <w:rsid w:val="00580208"/>
    <w:rsid w:val="005E0159"/>
    <w:rsid w:val="006048B8"/>
    <w:rsid w:val="00612CF4"/>
    <w:rsid w:val="006459CF"/>
    <w:rsid w:val="0065308C"/>
    <w:rsid w:val="006636B1"/>
    <w:rsid w:val="00670614"/>
    <w:rsid w:val="006A5ACA"/>
    <w:rsid w:val="007105B6"/>
    <w:rsid w:val="00711C4D"/>
    <w:rsid w:val="00713F5B"/>
    <w:rsid w:val="007349A7"/>
    <w:rsid w:val="007432C2"/>
    <w:rsid w:val="00765A3D"/>
    <w:rsid w:val="007A0CBD"/>
    <w:rsid w:val="007D1129"/>
    <w:rsid w:val="007F3CF3"/>
    <w:rsid w:val="0080184F"/>
    <w:rsid w:val="00804BF3"/>
    <w:rsid w:val="0084586B"/>
    <w:rsid w:val="00876F86"/>
    <w:rsid w:val="008964A4"/>
    <w:rsid w:val="008B6850"/>
    <w:rsid w:val="009243FC"/>
    <w:rsid w:val="009316D9"/>
    <w:rsid w:val="009331BC"/>
    <w:rsid w:val="00952ADA"/>
    <w:rsid w:val="0099047D"/>
    <w:rsid w:val="00992B6D"/>
    <w:rsid w:val="009D4C59"/>
    <w:rsid w:val="009F3609"/>
    <w:rsid w:val="00A03ECE"/>
    <w:rsid w:val="00A56E67"/>
    <w:rsid w:val="00A72B34"/>
    <w:rsid w:val="00AD6B26"/>
    <w:rsid w:val="00AE435A"/>
    <w:rsid w:val="00B178C0"/>
    <w:rsid w:val="00B64EDD"/>
    <w:rsid w:val="00BC782F"/>
    <w:rsid w:val="00BD4300"/>
    <w:rsid w:val="00BE5E04"/>
    <w:rsid w:val="00BE7B73"/>
    <w:rsid w:val="00BF7838"/>
    <w:rsid w:val="00C35CDC"/>
    <w:rsid w:val="00C7704E"/>
    <w:rsid w:val="00CA633C"/>
    <w:rsid w:val="00CC64FC"/>
    <w:rsid w:val="00D500E1"/>
    <w:rsid w:val="00D73172"/>
    <w:rsid w:val="00DB3A11"/>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 w:val="0C455903"/>
    <w:rsid w:val="12453EA4"/>
    <w:rsid w:val="1EE84744"/>
    <w:rsid w:val="255526CC"/>
    <w:rsid w:val="2F7B185A"/>
    <w:rsid w:val="30114C63"/>
    <w:rsid w:val="35913BE5"/>
    <w:rsid w:val="3EA05A38"/>
    <w:rsid w:val="486A39AE"/>
    <w:rsid w:val="494C4A78"/>
    <w:rsid w:val="4A9061E0"/>
    <w:rsid w:val="4EE062CD"/>
    <w:rsid w:val="507F2D23"/>
    <w:rsid w:val="51A34C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Body Text Indent" w:semiHidden="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unhideWhenUsed/>
    <w:pPr>
      <w:spacing w:after="120"/>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szCs w:val="24"/>
    </w:rPr>
  </w:style>
  <w:style w:type="paragraph" w:styleId="Header">
    <w:name w:val="header"/>
    <w:basedOn w:val="Normal"/>
    <w:link w:val="HeaderChar"/>
    <w:uiPriority w:val="99"/>
    <w:unhideWhenUsed/>
    <w:pPr>
      <w:tabs>
        <w:tab w:val="center" w:pos="4680"/>
        <w:tab w:val="right" w:pos="9360"/>
      </w:tabs>
    </w:pPr>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0"/>
      <w:szCs w:val="24"/>
    </w:rPr>
  </w:style>
  <w:style w:type="character" w:customStyle="1" w:styleId="Heading1Char">
    <w:name w:val="Heading 1 Char"/>
    <w:basedOn w:val="DefaultParagraphFont"/>
    <w:link w:val="Heading1"/>
    <w:qFormat/>
    <w:rPr>
      <w:rFonts w:eastAsia="Times New Roman"/>
      <w:b/>
      <w:i/>
      <w:sz w:val="40"/>
      <w:szCs w:val="20"/>
    </w:rPr>
  </w:style>
  <w:style w:type="character" w:customStyle="1" w:styleId="Heading2Char">
    <w:name w:val="Heading 2 Char"/>
    <w:basedOn w:val="DefaultParagraphFont"/>
    <w:link w:val="Heading2"/>
    <w:qFormat/>
    <w:rPr>
      <w:rFonts w:eastAsia="Times New Roman"/>
      <w:b/>
      <w:sz w:val="32"/>
      <w:szCs w:val="20"/>
    </w:rPr>
  </w:style>
  <w:style w:type="character" w:customStyle="1" w:styleId="TitleChar">
    <w:name w:val="Title Char"/>
    <w:basedOn w:val="DefaultParagraphFont"/>
    <w:link w:val="Title"/>
    <w:qFormat/>
    <w:rPr>
      <w:rFonts w:eastAsia="Times New Roman"/>
      <w:b/>
      <w:sz w:val="20"/>
    </w:rPr>
  </w:style>
  <w:style w:type="character" w:customStyle="1" w:styleId="FooterChar">
    <w:name w:val="Footer Char"/>
    <w:basedOn w:val="DefaultParagraphFont"/>
    <w:link w:val="Footer"/>
    <w:uiPriority w:val="99"/>
    <w:qFormat/>
    <w:rPr>
      <w:rFonts w:eastAsia="Times New Roman"/>
    </w:rPr>
  </w:style>
  <w:style w:type="character" w:customStyle="1" w:styleId="FooterChar1">
    <w:name w:val="Footer Char1"/>
    <w:basedOn w:val="DefaultParagraphFont"/>
    <w:uiPriority w:val="99"/>
    <w:semiHidden/>
    <w:qFormat/>
    <w:rPr>
      <w:rFonts w:eastAsia="Times New Roman"/>
      <w:szCs w:val="20"/>
    </w:rPr>
  </w:style>
  <w:style w:type="paragraph" w:customStyle="1" w:styleId="PageNumber1">
    <w:name w:val="Page Number1"/>
    <w:basedOn w:val="Normal"/>
    <w:qFormat/>
    <w:pPr>
      <w:suppressAutoHyphens/>
      <w:jc w:val="center"/>
    </w:pPr>
    <w:rPr>
      <w:rFonts w:ascii="Times" w:hAnsi="Times"/>
      <w:lang w:eastAsia="ar-SA"/>
    </w:rPr>
  </w:style>
  <w:style w:type="paragraph" w:customStyle="1" w:styleId="ICTSBodyText">
    <w:name w:val="ICTS_BodyText"/>
    <w:basedOn w:val="BodyText"/>
    <w:qFormat/>
  </w:style>
  <w:style w:type="character" w:customStyle="1" w:styleId="TitleChar1">
    <w:name w:val="Title Char1"/>
    <w:basedOn w:val="DefaultParagraphFont"/>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Bibliography1">
    <w:name w:val="Bibliography1"/>
    <w:basedOn w:val="Normal"/>
    <w:next w:val="Normal"/>
    <w:uiPriority w:val="37"/>
    <w:unhideWhenUsed/>
    <w:qFormat/>
    <w:pPr>
      <w:spacing w:after="200" w:line="276" w:lineRule="auto"/>
    </w:pPr>
    <w:rPr>
      <w:rFonts w:ascii="Calibri" w:eastAsia="Calibri" w:hAnsi="Calibri"/>
      <w:sz w:val="22"/>
      <w:szCs w:val="22"/>
    </w:rPr>
  </w:style>
  <w:style w:type="character" w:customStyle="1" w:styleId="BodyTextIndentChar">
    <w:name w:val="Body Text Indent Char"/>
    <w:basedOn w:val="DefaultParagraphFont"/>
    <w:link w:val="BodyTextIndent"/>
    <w:uiPriority w:val="99"/>
    <w:rPr>
      <w:rFonts w:eastAsia="Times New Roman"/>
      <w:szCs w:val="20"/>
    </w:rPr>
  </w:style>
  <w:style w:type="character" w:customStyle="1" w:styleId="BodyTextChar">
    <w:name w:val="Body Text Char"/>
    <w:basedOn w:val="DefaultParagraphFont"/>
    <w:link w:val="BodyText"/>
    <w:uiPriority w:val="99"/>
    <w:semiHidden/>
    <w:rPr>
      <w:rFonts w:eastAsia="Times New Roman"/>
      <w:szCs w:val="20"/>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Cs w:val="20"/>
    </w:rPr>
  </w:style>
  <w:style w:type="character" w:customStyle="1" w:styleId="HeaderChar">
    <w:name w:val="Header Char"/>
    <w:basedOn w:val="DefaultParagraphFont"/>
    <w:link w:val="Header"/>
    <w:uiPriority w:val="99"/>
    <w:rPr>
      <w:rFonts w:eastAsia="Times New Roman"/>
      <w:szCs w:val="20"/>
    </w:rPr>
  </w:style>
  <w:style w:type="table" w:customStyle="1" w:styleId="Style19">
    <w:name w:val="_Style 19"/>
    <w:basedOn w:val="TableNormal1"/>
    <w:qFormat/>
    <w:tblPr>
      <w:tblCellMar>
        <w:top w:w="0" w:type="dxa"/>
        <w:left w:w="115" w:type="dxa"/>
        <w:bottom w:w="0"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20">
    <w:name w:val="_Style 20"/>
    <w:basedOn w:val="TableNormal1"/>
    <w:tblPr>
      <w:tblCellMar>
        <w:top w:w="0" w:type="dxa"/>
        <w:left w:w="108" w:type="dxa"/>
        <w:bottom w:w="0" w:type="dxa"/>
        <w:right w:w="108" w:type="dxa"/>
      </w:tblCellMar>
    </w:tblPr>
  </w:style>
  <w:style w:type="table" w:customStyle="1" w:styleId="Style21">
    <w:name w:val="_Style 21"/>
    <w:basedOn w:val="TableNormal1"/>
    <w:qFormat/>
    <w:tblPr>
      <w:tblCellMar>
        <w:top w:w="0" w:type="dxa"/>
        <w:left w:w="115" w:type="dxa"/>
        <w:bottom w:w="0" w:type="dxa"/>
        <w:right w:w="115" w:type="dxa"/>
      </w:tblCellMar>
    </w:tblPr>
  </w:style>
  <w:style w:type="table" w:customStyle="1" w:styleId="Style22">
    <w:name w:val="_Style 22"/>
    <w:basedOn w:val="TableNormal1"/>
    <w:qFormat/>
    <w:tblPr>
      <w:tblCellMar>
        <w:top w:w="0" w:type="dxa"/>
        <w:left w:w="115" w:type="dxa"/>
        <w:bottom w:w="0" w:type="dxa"/>
        <w:right w:w="115" w:type="dxa"/>
      </w:tblCellMar>
    </w:tblPr>
  </w:style>
  <w:style w:type="table" w:customStyle="1" w:styleId="Style23">
    <w:name w:val="_Style 23"/>
    <w:basedOn w:val="TableNormal1"/>
    <w:tblPr>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A5ACA"/>
    <w:rPr>
      <w:rFonts w:ascii="Tahoma" w:hAnsi="Tahoma" w:cs="Tahoma"/>
      <w:sz w:val="16"/>
      <w:szCs w:val="16"/>
    </w:rPr>
  </w:style>
  <w:style w:type="character" w:customStyle="1" w:styleId="BalloonTextChar">
    <w:name w:val="Balloon Text Char"/>
    <w:basedOn w:val="DefaultParagraphFont"/>
    <w:link w:val="BalloonText"/>
    <w:uiPriority w:val="99"/>
    <w:semiHidden/>
    <w:rsid w:val="006A5A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Body Text Indent" w:semiHidden="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unhideWhenUsed/>
    <w:pPr>
      <w:spacing w:after="120"/>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szCs w:val="24"/>
    </w:rPr>
  </w:style>
  <w:style w:type="paragraph" w:styleId="Header">
    <w:name w:val="header"/>
    <w:basedOn w:val="Normal"/>
    <w:link w:val="HeaderChar"/>
    <w:uiPriority w:val="99"/>
    <w:unhideWhenUsed/>
    <w:pPr>
      <w:tabs>
        <w:tab w:val="center" w:pos="4680"/>
        <w:tab w:val="right" w:pos="9360"/>
      </w:tabs>
    </w:pPr>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0"/>
      <w:szCs w:val="24"/>
    </w:rPr>
  </w:style>
  <w:style w:type="character" w:customStyle="1" w:styleId="Heading1Char">
    <w:name w:val="Heading 1 Char"/>
    <w:basedOn w:val="DefaultParagraphFont"/>
    <w:link w:val="Heading1"/>
    <w:qFormat/>
    <w:rPr>
      <w:rFonts w:eastAsia="Times New Roman"/>
      <w:b/>
      <w:i/>
      <w:sz w:val="40"/>
      <w:szCs w:val="20"/>
    </w:rPr>
  </w:style>
  <w:style w:type="character" w:customStyle="1" w:styleId="Heading2Char">
    <w:name w:val="Heading 2 Char"/>
    <w:basedOn w:val="DefaultParagraphFont"/>
    <w:link w:val="Heading2"/>
    <w:qFormat/>
    <w:rPr>
      <w:rFonts w:eastAsia="Times New Roman"/>
      <w:b/>
      <w:sz w:val="32"/>
      <w:szCs w:val="20"/>
    </w:rPr>
  </w:style>
  <w:style w:type="character" w:customStyle="1" w:styleId="TitleChar">
    <w:name w:val="Title Char"/>
    <w:basedOn w:val="DefaultParagraphFont"/>
    <w:link w:val="Title"/>
    <w:qFormat/>
    <w:rPr>
      <w:rFonts w:eastAsia="Times New Roman"/>
      <w:b/>
      <w:sz w:val="20"/>
    </w:rPr>
  </w:style>
  <w:style w:type="character" w:customStyle="1" w:styleId="FooterChar">
    <w:name w:val="Footer Char"/>
    <w:basedOn w:val="DefaultParagraphFont"/>
    <w:link w:val="Footer"/>
    <w:uiPriority w:val="99"/>
    <w:qFormat/>
    <w:rPr>
      <w:rFonts w:eastAsia="Times New Roman"/>
    </w:rPr>
  </w:style>
  <w:style w:type="character" w:customStyle="1" w:styleId="FooterChar1">
    <w:name w:val="Footer Char1"/>
    <w:basedOn w:val="DefaultParagraphFont"/>
    <w:uiPriority w:val="99"/>
    <w:semiHidden/>
    <w:qFormat/>
    <w:rPr>
      <w:rFonts w:eastAsia="Times New Roman"/>
      <w:szCs w:val="20"/>
    </w:rPr>
  </w:style>
  <w:style w:type="paragraph" w:customStyle="1" w:styleId="PageNumber1">
    <w:name w:val="Page Number1"/>
    <w:basedOn w:val="Normal"/>
    <w:qFormat/>
    <w:pPr>
      <w:suppressAutoHyphens/>
      <w:jc w:val="center"/>
    </w:pPr>
    <w:rPr>
      <w:rFonts w:ascii="Times" w:hAnsi="Times"/>
      <w:lang w:eastAsia="ar-SA"/>
    </w:rPr>
  </w:style>
  <w:style w:type="paragraph" w:customStyle="1" w:styleId="ICTSBodyText">
    <w:name w:val="ICTS_BodyText"/>
    <w:basedOn w:val="BodyText"/>
    <w:qFormat/>
  </w:style>
  <w:style w:type="character" w:customStyle="1" w:styleId="TitleChar1">
    <w:name w:val="Title Char1"/>
    <w:basedOn w:val="DefaultParagraphFont"/>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Bibliography1">
    <w:name w:val="Bibliography1"/>
    <w:basedOn w:val="Normal"/>
    <w:next w:val="Normal"/>
    <w:uiPriority w:val="37"/>
    <w:unhideWhenUsed/>
    <w:qFormat/>
    <w:pPr>
      <w:spacing w:after="200" w:line="276" w:lineRule="auto"/>
    </w:pPr>
    <w:rPr>
      <w:rFonts w:ascii="Calibri" w:eastAsia="Calibri" w:hAnsi="Calibri"/>
      <w:sz w:val="22"/>
      <w:szCs w:val="22"/>
    </w:rPr>
  </w:style>
  <w:style w:type="character" w:customStyle="1" w:styleId="BodyTextIndentChar">
    <w:name w:val="Body Text Indent Char"/>
    <w:basedOn w:val="DefaultParagraphFont"/>
    <w:link w:val="BodyTextIndent"/>
    <w:uiPriority w:val="99"/>
    <w:rPr>
      <w:rFonts w:eastAsia="Times New Roman"/>
      <w:szCs w:val="20"/>
    </w:rPr>
  </w:style>
  <w:style w:type="character" w:customStyle="1" w:styleId="BodyTextChar">
    <w:name w:val="Body Text Char"/>
    <w:basedOn w:val="DefaultParagraphFont"/>
    <w:link w:val="BodyText"/>
    <w:uiPriority w:val="99"/>
    <w:semiHidden/>
    <w:rPr>
      <w:rFonts w:eastAsia="Times New Roman"/>
      <w:szCs w:val="20"/>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Cs w:val="20"/>
    </w:rPr>
  </w:style>
  <w:style w:type="character" w:customStyle="1" w:styleId="HeaderChar">
    <w:name w:val="Header Char"/>
    <w:basedOn w:val="DefaultParagraphFont"/>
    <w:link w:val="Header"/>
    <w:uiPriority w:val="99"/>
    <w:rPr>
      <w:rFonts w:eastAsia="Times New Roman"/>
      <w:szCs w:val="20"/>
    </w:rPr>
  </w:style>
  <w:style w:type="table" w:customStyle="1" w:styleId="Style19">
    <w:name w:val="_Style 19"/>
    <w:basedOn w:val="TableNormal1"/>
    <w:qFormat/>
    <w:tblPr>
      <w:tblCellMar>
        <w:top w:w="0" w:type="dxa"/>
        <w:left w:w="115" w:type="dxa"/>
        <w:bottom w:w="0"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20">
    <w:name w:val="_Style 20"/>
    <w:basedOn w:val="TableNormal1"/>
    <w:tblPr>
      <w:tblCellMar>
        <w:top w:w="0" w:type="dxa"/>
        <w:left w:w="108" w:type="dxa"/>
        <w:bottom w:w="0" w:type="dxa"/>
        <w:right w:w="108" w:type="dxa"/>
      </w:tblCellMar>
    </w:tblPr>
  </w:style>
  <w:style w:type="table" w:customStyle="1" w:styleId="Style21">
    <w:name w:val="_Style 21"/>
    <w:basedOn w:val="TableNormal1"/>
    <w:qFormat/>
    <w:tblPr>
      <w:tblCellMar>
        <w:top w:w="0" w:type="dxa"/>
        <w:left w:w="115" w:type="dxa"/>
        <w:bottom w:w="0" w:type="dxa"/>
        <w:right w:w="115" w:type="dxa"/>
      </w:tblCellMar>
    </w:tblPr>
  </w:style>
  <w:style w:type="table" w:customStyle="1" w:styleId="Style22">
    <w:name w:val="_Style 22"/>
    <w:basedOn w:val="TableNormal1"/>
    <w:qFormat/>
    <w:tblPr>
      <w:tblCellMar>
        <w:top w:w="0" w:type="dxa"/>
        <w:left w:w="115" w:type="dxa"/>
        <w:bottom w:w="0" w:type="dxa"/>
        <w:right w:w="115" w:type="dxa"/>
      </w:tblCellMar>
    </w:tblPr>
  </w:style>
  <w:style w:type="table" w:customStyle="1" w:styleId="Style23">
    <w:name w:val="_Style 23"/>
    <w:basedOn w:val="TableNormal1"/>
    <w:tblPr>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6A5ACA"/>
    <w:rPr>
      <w:rFonts w:ascii="Tahoma" w:hAnsi="Tahoma" w:cs="Tahoma"/>
      <w:sz w:val="16"/>
      <w:szCs w:val="16"/>
    </w:rPr>
  </w:style>
  <w:style w:type="character" w:customStyle="1" w:styleId="BalloonTextChar">
    <w:name w:val="Balloon Text Char"/>
    <w:basedOn w:val="DefaultParagraphFont"/>
    <w:link w:val="BalloonText"/>
    <w:uiPriority w:val="99"/>
    <w:semiHidden/>
    <w:rsid w:val="006A5A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muhammadkhaerulmuttaqien@umj.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E682-0D0F-4E46-AE36-370273AC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15865</Words>
  <Characters>90436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15</cp:revision>
  <dcterms:created xsi:type="dcterms:W3CDTF">2017-09-09T02:53:00Z</dcterms:created>
  <dcterms:modified xsi:type="dcterms:W3CDTF">2023-03-28T17:52:00Z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4A50AE92C9B14BC1B88695658F1A02E8</vt:lpwstr>
  </property>
  <property fmtid="{D5CDD505-2E9C-101B-9397-08002B2CF9AE}" pid="4" name="Mendeley Document_1">
    <vt:lpwstr>True</vt:lpwstr>
  </property>
  <property fmtid="{D5CDD505-2E9C-101B-9397-08002B2CF9AE}" pid="5" name="Mendeley Unique User Id_1">
    <vt:lpwstr>a2d8bcdf-a20f-3f75-b427-7a0a3dc716e2</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