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A233" w14:textId="0CE82463" w:rsidR="00D73172" w:rsidRDefault="00676052" w:rsidP="00D73172">
      <w:pPr>
        <w:jc w:val="center"/>
        <w:rPr>
          <w:b/>
          <w:sz w:val="28"/>
          <w:szCs w:val="28"/>
        </w:rPr>
      </w:pPr>
      <w:r w:rsidRPr="00676052">
        <w:rPr>
          <w:b/>
          <w:sz w:val="28"/>
          <w:szCs w:val="28"/>
        </w:rPr>
        <w:t xml:space="preserve">Effect of </w:t>
      </w:r>
      <w:r>
        <w:rPr>
          <w:b/>
          <w:sz w:val="28"/>
          <w:szCs w:val="28"/>
        </w:rPr>
        <w:t>S</w:t>
      </w:r>
      <w:r w:rsidRPr="00676052">
        <w:rPr>
          <w:b/>
          <w:sz w:val="28"/>
          <w:szCs w:val="28"/>
        </w:rPr>
        <w:t xml:space="preserve">ales </w:t>
      </w:r>
      <w:r>
        <w:rPr>
          <w:b/>
          <w:sz w:val="28"/>
          <w:szCs w:val="28"/>
        </w:rPr>
        <w:t>G</w:t>
      </w:r>
      <w:r w:rsidRPr="00676052">
        <w:rPr>
          <w:b/>
          <w:sz w:val="28"/>
          <w:szCs w:val="28"/>
        </w:rPr>
        <w:t xml:space="preserve">rowth, </w:t>
      </w:r>
      <w:r>
        <w:rPr>
          <w:b/>
          <w:sz w:val="28"/>
          <w:szCs w:val="28"/>
        </w:rPr>
        <w:t>P</w:t>
      </w:r>
      <w:r w:rsidRPr="00676052">
        <w:rPr>
          <w:b/>
          <w:sz w:val="28"/>
          <w:szCs w:val="28"/>
        </w:rPr>
        <w:t xml:space="preserve">rofitability, </w:t>
      </w:r>
      <w:r>
        <w:rPr>
          <w:b/>
          <w:sz w:val="28"/>
          <w:szCs w:val="28"/>
        </w:rPr>
        <w:t>L</w:t>
      </w:r>
      <w:r w:rsidRPr="00676052">
        <w:rPr>
          <w:b/>
          <w:sz w:val="28"/>
          <w:szCs w:val="28"/>
        </w:rPr>
        <w:t xml:space="preserve">iquidity, and </w:t>
      </w:r>
      <w:r>
        <w:rPr>
          <w:b/>
          <w:sz w:val="28"/>
          <w:szCs w:val="28"/>
        </w:rPr>
        <w:t>L</w:t>
      </w:r>
      <w:r w:rsidRPr="00676052">
        <w:rPr>
          <w:b/>
          <w:sz w:val="28"/>
          <w:szCs w:val="28"/>
        </w:rPr>
        <w:t xml:space="preserve">everage on </w:t>
      </w:r>
      <w:r>
        <w:rPr>
          <w:b/>
          <w:sz w:val="28"/>
          <w:szCs w:val="28"/>
        </w:rPr>
        <w:t>P</w:t>
      </w:r>
      <w:r w:rsidRPr="00676052">
        <w:rPr>
          <w:b/>
          <w:sz w:val="28"/>
          <w:szCs w:val="28"/>
        </w:rPr>
        <w:t xml:space="preserve">rofit </w:t>
      </w:r>
      <w:r>
        <w:rPr>
          <w:b/>
          <w:sz w:val="28"/>
          <w:szCs w:val="28"/>
        </w:rPr>
        <w:t>G</w:t>
      </w:r>
      <w:r w:rsidRPr="00676052">
        <w:rPr>
          <w:b/>
          <w:sz w:val="28"/>
          <w:szCs w:val="28"/>
        </w:rPr>
        <w:t>rowth</w:t>
      </w:r>
    </w:p>
    <w:p w14:paraId="1F669C89" w14:textId="77777777" w:rsidR="00676052" w:rsidRDefault="00676052" w:rsidP="00D73172">
      <w:pPr>
        <w:jc w:val="center"/>
        <w:rPr>
          <w:b/>
          <w:sz w:val="28"/>
        </w:rPr>
      </w:pPr>
    </w:p>
    <w:p w14:paraId="2C3938AE" w14:textId="32F9D6EA" w:rsidR="00120BFE" w:rsidRDefault="00120BFE" w:rsidP="00120BFE">
      <w:pPr>
        <w:jc w:val="center"/>
        <w:rPr>
          <w:b/>
          <w:szCs w:val="24"/>
          <w:vertAlign w:val="superscript"/>
        </w:rPr>
      </w:pPr>
      <w:r>
        <w:rPr>
          <w:b/>
          <w:szCs w:val="24"/>
        </w:rPr>
        <w:t>Yasir Maulana</w:t>
      </w:r>
      <w:r>
        <w:rPr>
          <w:b/>
          <w:szCs w:val="24"/>
          <w:vertAlign w:val="superscript"/>
        </w:rPr>
        <w:t>1)</w:t>
      </w:r>
      <w:r>
        <w:rPr>
          <w:b/>
          <w:szCs w:val="24"/>
        </w:rPr>
        <w:t>,  Elda Mesyani</w:t>
      </w:r>
      <w:r>
        <w:rPr>
          <w:b/>
          <w:szCs w:val="24"/>
          <w:vertAlign w:val="superscript"/>
        </w:rPr>
        <w:t>2)</w:t>
      </w:r>
    </w:p>
    <w:p w14:paraId="2A40383D" w14:textId="77777777" w:rsidR="00120BFE" w:rsidRDefault="00120BFE" w:rsidP="00120BFE">
      <w:pPr>
        <w:jc w:val="center"/>
        <w:rPr>
          <w:b/>
          <w:szCs w:val="24"/>
        </w:rPr>
      </w:pPr>
    </w:p>
    <w:p w14:paraId="7CBA4B81" w14:textId="77777777" w:rsidR="00120BFE" w:rsidRDefault="00120BFE" w:rsidP="00120BFE">
      <w:pPr>
        <w:jc w:val="center"/>
        <w:rPr>
          <w:sz w:val="22"/>
          <w:szCs w:val="22"/>
        </w:rPr>
      </w:pPr>
      <w:r>
        <w:rPr>
          <w:sz w:val="22"/>
          <w:szCs w:val="22"/>
          <w:vertAlign w:val="superscript"/>
        </w:rPr>
        <w:t>1</w:t>
      </w:r>
      <w:r>
        <w:rPr>
          <w:sz w:val="22"/>
          <w:szCs w:val="22"/>
        </w:rPr>
        <w:t>Universitas Kuningan</w:t>
      </w:r>
    </w:p>
    <w:p w14:paraId="11EFA1C8" w14:textId="77777777" w:rsidR="00120BFE" w:rsidRDefault="00120BFE" w:rsidP="00120BFE">
      <w:pPr>
        <w:pStyle w:val="PageNumber1"/>
        <w:rPr>
          <w:rFonts w:ascii="Times New Roman" w:hAnsi="Times New Roman"/>
          <w:sz w:val="22"/>
          <w:szCs w:val="22"/>
        </w:rPr>
      </w:pPr>
      <w:r>
        <w:rPr>
          <w:rFonts w:ascii="Times New Roman" w:hAnsi="Times New Roman"/>
          <w:sz w:val="22"/>
          <w:szCs w:val="22"/>
          <w:lang w:val="id-ID"/>
        </w:rPr>
        <w:t>E-</w:t>
      </w:r>
      <w:r>
        <w:rPr>
          <w:rFonts w:ascii="Times New Roman" w:hAnsi="Times New Roman"/>
          <w:sz w:val="22"/>
          <w:szCs w:val="22"/>
        </w:rPr>
        <w:t>mail: yasir@uniku.ac.id</w:t>
      </w:r>
    </w:p>
    <w:p w14:paraId="311E2A55" w14:textId="77777777" w:rsidR="00120BFE" w:rsidRDefault="00120BFE" w:rsidP="00120BFE">
      <w:pPr>
        <w:jc w:val="center"/>
        <w:rPr>
          <w:sz w:val="22"/>
          <w:szCs w:val="22"/>
        </w:rPr>
      </w:pPr>
      <w:r>
        <w:rPr>
          <w:sz w:val="22"/>
          <w:szCs w:val="22"/>
          <w:vertAlign w:val="superscript"/>
        </w:rPr>
        <w:t>2</w:t>
      </w:r>
      <w:r>
        <w:rPr>
          <w:sz w:val="22"/>
          <w:szCs w:val="22"/>
        </w:rPr>
        <w:t>Universitas Kuningan</w:t>
      </w:r>
    </w:p>
    <w:p w14:paraId="6D4ACCF4" w14:textId="77777777" w:rsidR="00120BFE" w:rsidRDefault="00120BFE" w:rsidP="00120BFE">
      <w:pPr>
        <w:jc w:val="center"/>
        <w:rPr>
          <w:sz w:val="22"/>
          <w:szCs w:val="22"/>
        </w:rPr>
      </w:pPr>
      <w:r>
        <w:rPr>
          <w:sz w:val="22"/>
          <w:szCs w:val="22"/>
          <w:lang w:val="id-ID"/>
        </w:rPr>
        <w:t>E-</w:t>
      </w:r>
      <w:r>
        <w:rPr>
          <w:sz w:val="22"/>
          <w:szCs w:val="22"/>
        </w:rPr>
        <w:t>mail: eldameysani@gmail.com</w:t>
      </w:r>
    </w:p>
    <w:p w14:paraId="69A590D1" w14:textId="77777777" w:rsidR="00120BFE" w:rsidRDefault="00120BFE" w:rsidP="00120BFE">
      <w:pPr>
        <w:jc w:val="center"/>
        <w:rPr>
          <w:sz w:val="22"/>
          <w:szCs w:val="22"/>
        </w:rPr>
      </w:pPr>
      <w:r>
        <w:rPr>
          <w:sz w:val="22"/>
          <w:szCs w:val="22"/>
          <w:vertAlign w:val="superscript"/>
        </w:rPr>
        <w:t>3</w:t>
      </w:r>
      <w:r>
        <w:rPr>
          <w:sz w:val="22"/>
          <w:szCs w:val="22"/>
        </w:rPr>
        <w:t>Universitas Kuningan</w:t>
      </w:r>
    </w:p>
    <w:p w14:paraId="40B788C3" w14:textId="74BC7488" w:rsidR="00676052" w:rsidRPr="00FE32A6" w:rsidRDefault="00676052" w:rsidP="00FE32A6">
      <w:pPr>
        <w:rPr>
          <w:b/>
          <w:szCs w:val="24"/>
          <w:vertAlign w:val="superscript"/>
        </w:rPr>
      </w:pPr>
    </w:p>
    <w:p w14:paraId="384CD90E" w14:textId="77777777" w:rsidR="00D73172" w:rsidRDefault="00D73172" w:rsidP="00D73172">
      <w:pPr>
        <w:rPr>
          <w:b/>
        </w:rPr>
      </w:pPr>
    </w:p>
    <w:p w14:paraId="772FB87D" w14:textId="20AC2B36"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3F1C497B" w14:textId="22BB9516" w:rsidR="00D73172" w:rsidRPr="005B722D" w:rsidRDefault="00E25044" w:rsidP="00676052">
      <w:pPr>
        <w:autoSpaceDE w:val="0"/>
        <w:jc w:val="both"/>
        <w:rPr>
          <w:b/>
          <w:i/>
          <w:sz w:val="22"/>
          <w:szCs w:val="22"/>
        </w:rPr>
      </w:pPr>
      <w:r w:rsidRPr="00E25044">
        <w:rPr>
          <w:i/>
          <w:sz w:val="22"/>
          <w:szCs w:val="22"/>
        </w:rPr>
        <w:t>The purpose of this research is to analyze the relationship between sales growth, profitability, liquidity, and leverage at publicly traded food and beverage firms in Indonesia from 2011 to 2019. From 2011-2019, 26 food and beverage companies were listed on the IDX; 11 of these were randomly selected to be included in the study. Here, Eviews is employed to run a random effect panel data regression model. Profit growth of food and beverage firms listed on the IDX between 2011 and 2019 was found to be significantly influenced by sales growth, profitability (ROE), liquidity (Cash Ratio), and leverage (DAR). For the period 2011-2019, food and beverage firms included on the IDX have had a positive and statistically significant impact from Sales Growth on their Profit Growth. Companies in the food and beverage sector that are part of the IDX and have a positive return on equity (ROE) will see their profits increase over the 2011-2019 time period. During the period 2011-2019, the profit growth of food and beverage companies listed on the IDX was negatively and significantly impacted by both liquidity (Cash Ratio) and leverage (DAR)</w:t>
      </w:r>
      <w:r w:rsidR="00676052" w:rsidRPr="00676052">
        <w:rPr>
          <w:i/>
          <w:sz w:val="22"/>
          <w:szCs w:val="22"/>
        </w:rPr>
        <w:t>.</w:t>
      </w:r>
    </w:p>
    <w:p w14:paraId="3B3BC189" w14:textId="13834FD7" w:rsidR="00D73172" w:rsidRDefault="00D73172" w:rsidP="007432C2">
      <w:pPr>
        <w:autoSpaceDE w:val="0"/>
        <w:spacing w:after="120"/>
        <w:ind w:left="1080" w:right="14" w:hanging="1080"/>
        <w:rPr>
          <w:i/>
          <w:sz w:val="22"/>
          <w:szCs w:val="22"/>
        </w:rPr>
      </w:pPr>
      <w:r w:rsidRPr="005B722D">
        <w:rPr>
          <w:b/>
          <w:i/>
          <w:sz w:val="22"/>
          <w:szCs w:val="22"/>
        </w:rPr>
        <w:t xml:space="preserve">Keywords: </w:t>
      </w:r>
      <w:r w:rsidR="009E7581" w:rsidRPr="009E7581">
        <w:rPr>
          <w:i/>
          <w:sz w:val="22"/>
          <w:szCs w:val="22"/>
        </w:rPr>
        <w:t>Sales Growth, Profitability, Liquidity, Leverage, and Profit Growth</w:t>
      </w:r>
    </w:p>
    <w:p w14:paraId="7E7C740A" w14:textId="4C1EB35A" w:rsidR="005E0159" w:rsidRDefault="007F65FD" w:rsidP="007432C2">
      <w:pPr>
        <w:autoSpaceDE w:val="0"/>
        <w:spacing w:after="120"/>
        <w:ind w:left="1080" w:right="14" w:hanging="1080"/>
        <w:rPr>
          <w:b/>
          <w:i/>
          <w:sz w:val="22"/>
          <w:szCs w:val="22"/>
        </w:rPr>
      </w:pPr>
      <w:r w:rsidRPr="00225E7D">
        <w:rPr>
          <w:b/>
          <w:i/>
          <w:sz w:val="22"/>
          <w:szCs w:val="22"/>
          <w:lang w:val="id-ID"/>
        </w:rPr>
        <w:t>J</w:t>
      </w:r>
      <w:r w:rsidR="00EF7397" w:rsidRPr="00225E7D">
        <w:rPr>
          <w:b/>
          <w:i/>
          <w:sz w:val="22"/>
          <w:szCs w:val="22"/>
          <w:lang w:val="id-ID"/>
        </w:rPr>
        <w:t>EL</w:t>
      </w:r>
      <w:r w:rsidRPr="00225E7D">
        <w:rPr>
          <w:b/>
          <w:i/>
          <w:sz w:val="22"/>
          <w:szCs w:val="22"/>
          <w:lang w:val="id-ID"/>
        </w:rPr>
        <w:t xml:space="preserve"> </w:t>
      </w:r>
      <w:r w:rsidR="004B7814" w:rsidRPr="00225E7D">
        <w:rPr>
          <w:b/>
          <w:i/>
          <w:sz w:val="22"/>
          <w:szCs w:val="22"/>
          <w:lang w:val="id-ID"/>
        </w:rPr>
        <w:t>C</w:t>
      </w:r>
      <w:r w:rsidR="00220AAF" w:rsidRPr="00225E7D">
        <w:rPr>
          <w:b/>
          <w:i/>
          <w:sz w:val="22"/>
          <w:szCs w:val="22"/>
          <w:lang w:val="id-ID"/>
        </w:rPr>
        <w:t>lasification</w:t>
      </w:r>
      <w:r w:rsidR="00467D33" w:rsidRPr="00225E7D">
        <w:rPr>
          <w:b/>
          <w:i/>
          <w:sz w:val="22"/>
          <w:szCs w:val="22"/>
          <w:lang w:val="id-ID"/>
        </w:rPr>
        <w:t xml:space="preserve"> </w:t>
      </w:r>
      <w:r w:rsidR="005E0159" w:rsidRPr="00225E7D">
        <w:rPr>
          <w:b/>
          <w:i/>
          <w:sz w:val="22"/>
          <w:szCs w:val="22"/>
        </w:rPr>
        <w:t>:</w:t>
      </w:r>
      <w:r w:rsidR="00467D33" w:rsidRPr="00225E7D">
        <w:rPr>
          <w:b/>
          <w:i/>
          <w:sz w:val="22"/>
          <w:szCs w:val="22"/>
          <w:lang w:val="id-ID"/>
        </w:rPr>
        <w:t xml:space="preserve"> </w:t>
      </w:r>
      <w:r w:rsidR="005E0159" w:rsidRPr="00225E7D">
        <w:rPr>
          <w:b/>
          <w:i/>
          <w:sz w:val="22"/>
          <w:szCs w:val="22"/>
        </w:rPr>
        <w:t xml:space="preserve"> </w:t>
      </w:r>
      <w:r w:rsidR="009E7581">
        <w:rPr>
          <w:b/>
          <w:i/>
          <w:sz w:val="22"/>
          <w:szCs w:val="22"/>
        </w:rPr>
        <w:t>G10, M20, M40</w:t>
      </w:r>
    </w:p>
    <w:p w14:paraId="50D35883" w14:textId="77777777" w:rsidR="0071681A" w:rsidRPr="009E7581" w:rsidRDefault="0071681A" w:rsidP="007432C2">
      <w:pPr>
        <w:autoSpaceDE w:val="0"/>
        <w:spacing w:after="120"/>
        <w:ind w:left="1080" w:right="14" w:hanging="1080"/>
        <w:rPr>
          <w:b/>
          <w:i/>
          <w:sz w:val="22"/>
          <w:szCs w:val="22"/>
        </w:rPr>
      </w:pPr>
    </w:p>
    <w:p w14:paraId="077CAA95" w14:textId="77777777" w:rsidR="00FB47D1" w:rsidRDefault="00FB47D1" w:rsidP="00B67117">
      <w:pPr>
        <w:pStyle w:val="Heading1"/>
        <w:suppressAutoHyphens/>
        <w:spacing w:after="60"/>
        <w:rPr>
          <w:i w:val="0"/>
          <w:sz w:val="22"/>
          <w:szCs w:val="22"/>
        </w:rPr>
        <w:sectPr w:rsidR="00FB47D1" w:rsidSect="00376D1D">
          <w:headerReference w:type="default" r:id="rId8"/>
          <w:footerReference w:type="default" r:id="rId9"/>
          <w:type w:val="continuous"/>
          <w:pgSz w:w="11909" w:h="16834" w:code="9"/>
          <w:pgMar w:top="1701" w:right="1136" w:bottom="1985" w:left="1418" w:header="1060" w:footer="1242" w:gutter="0"/>
          <w:cols w:space="454"/>
          <w:docGrid w:linePitch="360"/>
        </w:sectPr>
      </w:pPr>
    </w:p>
    <w:p w14:paraId="54A8CED9" w14:textId="052BD2B6" w:rsidR="00D73172" w:rsidRPr="0071681A" w:rsidRDefault="00FF618E" w:rsidP="004B7814">
      <w:pPr>
        <w:pStyle w:val="Heading1"/>
        <w:numPr>
          <w:ilvl w:val="0"/>
          <w:numId w:val="6"/>
        </w:numPr>
        <w:suppressAutoHyphens/>
        <w:spacing w:after="60"/>
        <w:ind w:left="360"/>
        <w:rPr>
          <w:i w:val="0"/>
          <w:sz w:val="22"/>
          <w:szCs w:val="22"/>
        </w:rPr>
      </w:pPr>
      <w:r>
        <w:rPr>
          <w:i w:val="0"/>
          <w:sz w:val="22"/>
          <w:szCs w:val="22"/>
        </w:rPr>
        <w:t>INTRODUCTION</w:t>
      </w:r>
    </w:p>
    <w:p w14:paraId="240ACC4E" w14:textId="38FA5743" w:rsidR="009E7581" w:rsidRPr="0071681A" w:rsidRDefault="009E7581" w:rsidP="0071681A">
      <w:pPr>
        <w:ind w:firstLine="567"/>
        <w:jc w:val="both"/>
        <w:rPr>
          <w:sz w:val="22"/>
          <w:szCs w:val="22"/>
        </w:rPr>
      </w:pPr>
      <w:r w:rsidRPr="0071681A">
        <w:rPr>
          <w:sz w:val="22"/>
          <w:szCs w:val="22"/>
        </w:rPr>
        <w:t xml:space="preserve">Profit is the main purpose of establishing a company. profit is the difference over income minus the costs incurred to obtain the income, profit is generally expressed in units of money </w:t>
      </w:r>
      <w:r w:rsidRPr="0071681A">
        <w:rPr>
          <w:sz w:val="22"/>
          <w:szCs w:val="22"/>
        </w:rPr>
        <w:fldChar w:fldCharType="begin" w:fldLock="1"/>
      </w:r>
      <w:r w:rsidR="00D32A38">
        <w:rPr>
          <w:sz w:val="22"/>
          <w:szCs w:val="22"/>
        </w:rPr>
        <w:instrText>ADDIN CSL_CITATION {"citationItems":[{"id":"ITEM-1","itemData":{"author":[{"dropping-particle":"","family":"Harahap","given":"Sofyan Safri","non-dropping-particle":"","parse-names":false,"suffix":""}],"edition":"Pertama","id":"ITEM-1","issued":{"date-parts":[["2013"]]},"publisher":"Raja Grafindo Persada, Jakarta","title":"Analisis Kritis atas Laporan Keuangan","type":"chapter"},"uris":["http://www.mendeley.com/documents/?uuid=5a096db0-67d9-40c3-9546-183ed55baaac","http://www.mendeley.com/documents/?uuid=cdd2ff8f-c583-4aa1-80ec-8f1c171422e6"]}],"mendeley":{"formattedCitation":"(Harahap, 2013)","plainTextFormattedCitation":"(Harahap, 2013)","previouslyFormattedCitation":"(Harahap, 2013)"},"properties":{"noteIndex":0},"schema":"https://github.com/citation-style-language/schema/raw/master/csl-citation.json"}</w:instrText>
      </w:r>
      <w:r w:rsidRPr="0071681A">
        <w:rPr>
          <w:sz w:val="22"/>
          <w:szCs w:val="22"/>
        </w:rPr>
        <w:fldChar w:fldCharType="separate"/>
      </w:r>
      <w:r w:rsidRPr="0071681A">
        <w:rPr>
          <w:noProof/>
          <w:sz w:val="22"/>
          <w:szCs w:val="22"/>
        </w:rPr>
        <w:t>(Harahap, 2013)</w:t>
      </w:r>
      <w:r w:rsidRPr="0071681A">
        <w:rPr>
          <w:sz w:val="22"/>
          <w:szCs w:val="22"/>
        </w:rPr>
        <w:fldChar w:fldCharType="end"/>
      </w:r>
      <w:r w:rsidRPr="0071681A">
        <w:rPr>
          <w:sz w:val="22"/>
          <w:szCs w:val="22"/>
        </w:rPr>
        <w:t>. A company can be said to be successful if it can get maximum profit. Companies that experience increased profits indicate that the company can carry out their operational activities effectively and efficiently.</w:t>
      </w:r>
      <w:r w:rsidR="00D32A38">
        <w:rPr>
          <w:sz w:val="22"/>
          <w:szCs w:val="22"/>
        </w:rPr>
        <w:t xml:space="preserve"> </w:t>
      </w:r>
      <w:r w:rsidR="00D32A38" w:rsidRPr="00D32A38">
        <w:rPr>
          <w:sz w:val="22"/>
          <w:szCs w:val="22"/>
        </w:rPr>
        <w:t>The risk of financial assets has become an increasingly important aspect in recent decades. With the condition of the financial world that is increasingly globalized and uncertain, companies, especially financial institutions, naturally want to have good control over their risk profile</w:t>
      </w:r>
      <w:r w:rsidR="00D32A38">
        <w:rPr>
          <w:sz w:val="22"/>
          <w:szCs w:val="22"/>
        </w:rPr>
        <w:t xml:space="preserve"> </w:t>
      </w:r>
      <w:r w:rsidR="00D32A38">
        <w:rPr>
          <w:sz w:val="22"/>
          <w:szCs w:val="22"/>
        </w:rPr>
        <w:fldChar w:fldCharType="begin" w:fldLock="1"/>
      </w:r>
      <w:r w:rsidR="00D32A38">
        <w:rPr>
          <w:sz w:val="22"/>
          <w:szCs w:val="22"/>
        </w:rPr>
        <w:instrText>ADDIN CSL_CITATION {"citationItems":[{"id":"ITEM-1","itemData":{"abstract":"This study aims to determine the volatility model of the ten sectoral stock indexes on the Indonesia Stock Exchange accompanied by analysis of the influence of leverage and forecasting using the best model obtained. The method used is the ARCH model then extended to symmetric GARCH and asymmetric extension to GARCH, namely, GJR-GARCH and EGARCH. The results of the research that we have done on sectoral stock indexes show that the ten sectoral indices can be modeled for volatility. The best model for Consumer Goods, Miscellaneous, Infrastructure, and Property is GARCH(1,1). As for the Manufacturing, Trade, and Basic Industry sectors, the best model is GJR-GARCH(0,1,1) and for the Mining, Agriculture, and Finance sectors the best model is GJR-GARCH(1,1,1). Our analysis of the leverage effect found that several sectors showed a leverage effect, namely the manufacturing, mining, agriculture, trade, finance, and property sectors. This often reflects the fact that in the Indonesian stock market often volatility increases more quickly when there is bad news than volatility changes when there is good news for these sectoral indices.","author":[{"dropping-particle":"","family":"Maulana","given":"Yasir","non-dropping-particle":"","parse-names":false,"suffix":""}],"container-title":"LOGIKA : JURNAL PENELITIAN UNIVERSITAS KUNINGAN","id":"ITEM-1","issued":{"date-parts":[["2022"]]},"title":"Pemodelan Volatilitas Indeks Harga Saham Sektoral di Indonesia","type":"article-journal","volume":"13"},"uris":["http://www.mendeley.com/documents/?uuid=18a85037-84a0-44bc-9596-5d21d837baa0"]}],"mendeley":{"formattedCitation":"(Maulana, 2022)","plainTextFormattedCitation":"(Maulana, 2022)","previouslyFormattedCitation":"(Maulana, 2022)"},"properties":{"noteIndex":0},"schema":"https://github.com/citation-style-language/schema/raw/master/csl-citation.json"}</w:instrText>
      </w:r>
      <w:r w:rsidR="00D32A38">
        <w:rPr>
          <w:sz w:val="22"/>
          <w:szCs w:val="22"/>
        </w:rPr>
        <w:fldChar w:fldCharType="separate"/>
      </w:r>
      <w:r w:rsidR="00D32A38" w:rsidRPr="00D32A38">
        <w:rPr>
          <w:noProof/>
          <w:sz w:val="22"/>
          <w:szCs w:val="22"/>
        </w:rPr>
        <w:t>(Maulana, 2022)</w:t>
      </w:r>
      <w:r w:rsidR="00D32A38">
        <w:rPr>
          <w:sz w:val="22"/>
          <w:szCs w:val="22"/>
        </w:rPr>
        <w:fldChar w:fldCharType="end"/>
      </w:r>
      <w:r w:rsidR="00D32A38" w:rsidRPr="00D32A38">
        <w:rPr>
          <w:sz w:val="22"/>
          <w:szCs w:val="22"/>
        </w:rPr>
        <w:t>.</w:t>
      </w:r>
    </w:p>
    <w:p w14:paraId="4D4C8282" w14:textId="77777777" w:rsidR="009E7581" w:rsidRPr="0071681A" w:rsidRDefault="009E7581" w:rsidP="0071681A">
      <w:pPr>
        <w:ind w:firstLine="567"/>
        <w:jc w:val="both"/>
        <w:rPr>
          <w:sz w:val="22"/>
          <w:szCs w:val="22"/>
        </w:rPr>
      </w:pPr>
      <w:r w:rsidRPr="0071681A">
        <w:rPr>
          <w:sz w:val="22"/>
          <w:szCs w:val="22"/>
        </w:rPr>
        <w:t xml:space="preserve">One of the manufacturing sectors that contributes greatly to national economic growth is the food and beverage company. Food and </w:t>
      </w:r>
      <w:r w:rsidRPr="0071681A">
        <w:rPr>
          <w:sz w:val="22"/>
          <w:szCs w:val="22"/>
        </w:rPr>
        <w:t>beverage companies are one of the industries that are developing with the increasing population growth of a country. Therefore, food and beverage companies are considered to have profitable prospects both now and in the future.</w:t>
      </w:r>
    </w:p>
    <w:p w14:paraId="0B379B95" w14:textId="130D4F9C" w:rsidR="009E7581" w:rsidRPr="0071681A" w:rsidRDefault="00E25044" w:rsidP="0071681A">
      <w:pPr>
        <w:ind w:firstLine="567"/>
        <w:jc w:val="both"/>
        <w:rPr>
          <w:sz w:val="22"/>
          <w:szCs w:val="22"/>
        </w:rPr>
      </w:pPr>
      <w:r w:rsidRPr="00E25044">
        <w:rPr>
          <w:sz w:val="22"/>
          <w:szCs w:val="22"/>
        </w:rPr>
        <w:t>the following is a table displaying the average annual growth in profits for the consumer products business segment of the Indonesia Stock Exchange listed companies between 2011 and 2019</w:t>
      </w:r>
      <w:r w:rsidR="009E7581" w:rsidRPr="0071681A">
        <w:rPr>
          <w:sz w:val="22"/>
          <w:szCs w:val="22"/>
        </w:rPr>
        <w:t>.</w:t>
      </w:r>
    </w:p>
    <w:p w14:paraId="6BDD40C9" w14:textId="52597DD2" w:rsidR="009E7581" w:rsidRPr="0071681A" w:rsidRDefault="00E25044" w:rsidP="0071681A">
      <w:pPr>
        <w:ind w:firstLine="567"/>
        <w:jc w:val="both"/>
        <w:rPr>
          <w:sz w:val="22"/>
          <w:szCs w:val="22"/>
        </w:rPr>
      </w:pPr>
      <w:r w:rsidRPr="00E25044">
        <w:rPr>
          <w:sz w:val="22"/>
          <w:szCs w:val="22"/>
        </w:rPr>
        <w:t>Table 1 shows that the average profit growth of the five sectors is not constant, displaying both increases and decreases throughout time</w:t>
      </w:r>
      <w:r w:rsidR="009E7581" w:rsidRPr="0071681A">
        <w:rPr>
          <w:sz w:val="22"/>
          <w:szCs w:val="22"/>
        </w:rPr>
        <w:t xml:space="preserve">. The average profit growth of the food and beverage subsector is more likely to experience a decline or a downward trend compared to the four subsectors. It can be seen that for four consecutive years starting from 2016 to 2019 the average profit growth of food and beverage companies has decreased and is in the </w:t>
      </w:r>
      <w:r w:rsidR="009E7581" w:rsidRPr="0071681A">
        <w:rPr>
          <w:sz w:val="22"/>
          <w:szCs w:val="22"/>
        </w:rPr>
        <w:lastRenderedPageBreak/>
        <w:t>minus figure. In 2016 it decreased by 14.25% from 2015, in 2017 it decreased by 83.54% from 2016, in 2018 it decreased by 32.57% from 2017 and in 2019 it increased by 73.59% from 2018. Although in 2019 there was an increase, the average value is still in the minus number.</w:t>
      </w:r>
    </w:p>
    <w:p w14:paraId="73FDD4E5" w14:textId="77777777" w:rsidR="009E7581" w:rsidRPr="0071681A" w:rsidRDefault="009E7581" w:rsidP="009E7581">
      <w:pPr>
        <w:ind w:firstLine="720"/>
        <w:jc w:val="both"/>
        <w:rPr>
          <w:b/>
          <w:sz w:val="22"/>
          <w:szCs w:val="22"/>
        </w:rPr>
      </w:pPr>
    </w:p>
    <w:p w14:paraId="6F585B3F" w14:textId="77777777" w:rsidR="009E7581" w:rsidRPr="0071681A" w:rsidRDefault="009E7581" w:rsidP="009E7581">
      <w:pPr>
        <w:ind w:firstLine="720"/>
        <w:jc w:val="both"/>
        <w:rPr>
          <w:b/>
          <w:sz w:val="22"/>
          <w:szCs w:val="22"/>
        </w:rPr>
      </w:pPr>
    </w:p>
    <w:p w14:paraId="2BB181F7" w14:textId="77777777" w:rsidR="009E7581" w:rsidRPr="0071681A" w:rsidRDefault="009E7581" w:rsidP="009E7581">
      <w:pPr>
        <w:jc w:val="center"/>
        <w:rPr>
          <w:b/>
          <w:sz w:val="22"/>
          <w:szCs w:val="22"/>
        </w:rPr>
      </w:pPr>
      <w:r w:rsidRPr="0071681A">
        <w:rPr>
          <w:b/>
          <w:sz w:val="22"/>
          <w:szCs w:val="22"/>
        </w:rPr>
        <w:t xml:space="preserve">Table 1. Average Profit Growth of the Consumer Goods Industry Sector </w:t>
      </w:r>
    </w:p>
    <w:p w14:paraId="6509CB45" w14:textId="36268A0F" w:rsidR="00EF5CAB" w:rsidRDefault="00EF5CAB" w:rsidP="00EF5CAB">
      <w:pPr>
        <w:jc w:val="center"/>
        <w:rPr>
          <w:sz w:val="22"/>
          <w:szCs w:val="22"/>
        </w:rPr>
      </w:pPr>
      <w:r w:rsidRPr="00EF5CAB">
        <w:rPr>
          <w:noProof/>
        </w:rPr>
        <w:drawing>
          <wp:inline distT="0" distB="0" distL="0" distR="0" wp14:anchorId="63A3CBD1" wp14:editId="07FE5C38">
            <wp:extent cx="2933659" cy="6838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129" r="9132" b="11835"/>
                    <a:stretch/>
                  </pic:blipFill>
                  <pic:spPr bwMode="auto">
                    <a:xfrm>
                      <a:off x="0" y="0"/>
                      <a:ext cx="2963504" cy="690769"/>
                    </a:xfrm>
                    <a:prstGeom prst="rect">
                      <a:avLst/>
                    </a:prstGeom>
                    <a:noFill/>
                    <a:ln>
                      <a:noFill/>
                    </a:ln>
                    <a:extLst>
                      <a:ext uri="{53640926-AAD7-44D8-BBD7-CCE9431645EC}">
                        <a14:shadowObscured xmlns:a14="http://schemas.microsoft.com/office/drawing/2010/main"/>
                      </a:ext>
                    </a:extLst>
                  </pic:spPr>
                </pic:pic>
              </a:graphicData>
            </a:graphic>
          </wp:inline>
        </w:drawing>
      </w:r>
    </w:p>
    <w:p w14:paraId="7D60A81A" w14:textId="5F7D4D42" w:rsidR="009E7581" w:rsidRPr="00EF5CAB" w:rsidRDefault="009E7581" w:rsidP="009E7581">
      <w:pPr>
        <w:rPr>
          <w:sz w:val="20"/>
        </w:rPr>
      </w:pPr>
      <w:r w:rsidRPr="00EF5CAB">
        <w:rPr>
          <w:sz w:val="20"/>
        </w:rPr>
        <w:t>Source: Data processed by the author</w:t>
      </w:r>
    </w:p>
    <w:p w14:paraId="001DEB41" w14:textId="77777777" w:rsidR="009E7581" w:rsidRPr="0071681A" w:rsidRDefault="009E7581" w:rsidP="009E7581">
      <w:pPr>
        <w:ind w:firstLine="720"/>
        <w:jc w:val="both"/>
        <w:rPr>
          <w:sz w:val="22"/>
          <w:szCs w:val="22"/>
        </w:rPr>
      </w:pPr>
    </w:p>
    <w:p w14:paraId="49D75595" w14:textId="57478704" w:rsidR="009E7581" w:rsidRPr="0071681A" w:rsidRDefault="009E7581" w:rsidP="0071681A">
      <w:pPr>
        <w:ind w:firstLine="567"/>
        <w:jc w:val="both"/>
        <w:rPr>
          <w:sz w:val="22"/>
          <w:szCs w:val="22"/>
        </w:rPr>
      </w:pPr>
      <w:r w:rsidRPr="0071681A">
        <w:rPr>
          <w:sz w:val="22"/>
          <w:szCs w:val="22"/>
        </w:rPr>
        <w:t xml:space="preserve">According to </w:t>
      </w:r>
      <w:r w:rsidRPr="0071681A">
        <w:rPr>
          <w:sz w:val="22"/>
          <w:szCs w:val="22"/>
        </w:rPr>
        <w:fldChar w:fldCharType="begin" w:fldLock="1"/>
      </w:r>
      <w:r w:rsidR="00D32A38">
        <w:rPr>
          <w:sz w:val="22"/>
          <w:szCs w:val="22"/>
        </w:rPr>
        <w:instrText>ADDIN CSL_CITATION {"citationItems":[{"id":"ITEM-1","itemData":{"abstract":"Penelitian ini bertujuan untuk mengetahui pengaruh dari Likuiditas, Profitabilitas dan Leverage terhadap Pertumbuhan LabaPerusahaan Food And Beveragespada tahun 2014-2018 yang terdaftar di Bursa Efek Indonesia. Likuiditas diproksikan dengan Current Ratio (CR), Profitabilitas diproksikan dengan Return On Equity(ROE), Leveragediproksikan dengan Debt Equity Ratio(DER). Jenis penelitian ini adalah penelitian kuantitatif. Populasi dalam penelitian ini pada Perusahaan Food And Beverages pada tahun 2014-2018yang terdaftar di Bursa Efek Indonesia sebanyak 26 perusahaan dan sampel yang digunakan dalam penelitian ini adalah 10 perusahaan dengan menggunakan metode purposive sampling. Teknik analisis data yang digunakan adalah analisis regresi linier berganda dengan menggunakan program SPSS versi 20. Hasil penelitian menunjukkan bahwa Likuiditas (CR) dan Leverage (DER) berpengaruh negatif dan tidak signifikan terhadap Pertumbuhan Laba,Sedangkan Profitabilitas (ROE) berpengaruh positif dan signifikan terhadap Pertumbuhan Laba.","author":[{"dropping-particle":"","family":"Putri","given":"Leny Diana Novia Eka","non-dropping-particle":"","parse-names":false,"suffix":""},{"dropping-particle":"","family":"Santoso","given":"Bambang Hadi","non-dropping-particle":"","parse-names":false,"suffix":""}],"container-title":"Ilmu dan Riset Manajemen","id":"ITEM-1","issue":"5","issued":{"date-parts":[["2020"]]},"page":"1-17","title":"Pengaruh Likuiditas,Profitabilitas Dan Leverage Terhadap Pertumbuhan Laba Perusahaan Food and Beverages","type":"article-journal","volume":"9"},"uris":["http://www.mendeley.com/documents/?uuid=aa958ff2-2e7c-4843-b9c8-352cfec1e146","http://www.mendeley.com/documents/?uuid=f60c358b-f89f-4696-bc62-cda8f71b8bb6"]}],"mendeley":{"formattedCitation":"(Putri &amp; Santoso, 2020)","manualFormatting":"Putri &amp; Santoso, (2020) ","plainTextFormattedCitation":"(Putri &amp; Santoso, 2020)","previouslyFormattedCitation":"(Putri &amp; Santoso, 2020)"},"properties":{"noteIndex":0},"schema":"https://github.com/citation-style-language/schema/raw/master/csl-citation.json"}</w:instrText>
      </w:r>
      <w:r w:rsidRPr="0071681A">
        <w:rPr>
          <w:sz w:val="22"/>
          <w:szCs w:val="22"/>
        </w:rPr>
        <w:fldChar w:fldCharType="separate"/>
      </w:r>
      <w:r w:rsidRPr="0071681A">
        <w:rPr>
          <w:noProof/>
          <w:sz w:val="22"/>
          <w:szCs w:val="22"/>
        </w:rPr>
        <w:t xml:space="preserve">Putri &amp; Santoso, (2020) </w:t>
      </w:r>
      <w:r w:rsidRPr="0071681A">
        <w:rPr>
          <w:sz w:val="22"/>
          <w:szCs w:val="22"/>
        </w:rPr>
        <w:fldChar w:fldCharType="end"/>
      </w:r>
      <w:r w:rsidR="00E510C7" w:rsidRPr="00E510C7">
        <w:t xml:space="preserve"> </w:t>
      </w:r>
      <w:r w:rsidR="00E510C7" w:rsidRPr="00E510C7">
        <w:rPr>
          <w:sz w:val="22"/>
          <w:szCs w:val="22"/>
        </w:rPr>
        <w:t>Profit expansion is affected by a number of variables, such as the company's size, age, leverage, sales volume, and historical profit performance</w:t>
      </w:r>
      <w:r w:rsidRPr="0071681A">
        <w:rPr>
          <w:sz w:val="22"/>
          <w:szCs w:val="22"/>
        </w:rPr>
        <w:t>.</w:t>
      </w:r>
    </w:p>
    <w:p w14:paraId="64FB019C" w14:textId="7DB1A5FB" w:rsidR="009E7581" w:rsidRPr="0071681A" w:rsidRDefault="00E510C7" w:rsidP="0071681A">
      <w:pPr>
        <w:ind w:firstLine="567"/>
        <w:jc w:val="both"/>
        <w:rPr>
          <w:sz w:val="22"/>
          <w:szCs w:val="22"/>
        </w:rPr>
      </w:pPr>
      <w:r w:rsidRPr="00E510C7">
        <w:rPr>
          <w:sz w:val="22"/>
          <w:szCs w:val="22"/>
        </w:rPr>
        <w:t>Financial forecasting can be improved with the help of ratio analysis</w:t>
      </w:r>
      <w:r w:rsidR="009E7581" w:rsidRPr="0071681A">
        <w:rPr>
          <w:sz w:val="22"/>
          <w:szCs w:val="22"/>
        </w:rPr>
        <w:t xml:space="preserve">. According to </w:t>
      </w:r>
      <w:r w:rsidR="009E7581" w:rsidRPr="0071681A">
        <w:rPr>
          <w:sz w:val="22"/>
          <w:szCs w:val="22"/>
        </w:rPr>
        <w:fldChar w:fldCharType="begin" w:fldLock="1"/>
      </w:r>
      <w:r w:rsidR="00D32A38">
        <w:rPr>
          <w:sz w:val="22"/>
          <w:szCs w:val="22"/>
        </w:rPr>
        <w:instrText>ADDIN CSL_CITATION {"citationItems":[{"id":"ITEM-1","itemData":{"DOI":"10.13106/JAFEB.2020.VOL7.NO12.739","ISSN":"22884645","abstract":"The study aims to estimate the effect of current ratio (CR), current liability to inventory (CLI), total asset turnover (TAT), net profit margin (NPM), sales growth (SG), and company size (FS) on profit growth (PG). The research population was 18 companies in the Food and Beverage (F&amp;B) sector listed on the Indonesia Stock Exchange (IDX) from 2014-2018. The data estimation method uses the common effect panel data regression model. The empirical findings show that the CR and CLI ratios have a negative effect on PG, while the TAT, NPM, and SG ratios have a positive effect. Company size is a factor that does not affect the growth of company profits. The results of the study imply that an increase in company profits can be achieved if the company operates efficiently and with low liquidity to encourage higher sales growth. The limitations of the research are as follows: first, this research considers only one type of industry, hence the results of this study would not be the same if applied to another type of industry. Second, the author observes profit growth by using the company’s financial ratios and size and ignores other factors that may affect profit growth, for example, the number of employees, total net sales, and market capitalization.","author":[{"dropping-particle":"","family":"Endri","given":"Endri","non-dropping-particle":"","parse-names":false,"suffix":""},{"dropping-particle":"","family":"Sari","given":"Aprida Kartika","non-dropping-particle":"","parse-names":false,"suffix":""},{"dropping-particle":"","family":"BUDIASIH","given":"Yanti","non-dropping-particle":"","parse-names":false,"suffix":""},{"dropping-particle":"","family":"Yuliantini","given":"Tine","non-dropping-particle":"","parse-names":false,"suffix":""},{"dropping-particle":"","family":"Kasmir","given":"Kasmir","non-dropping-particle":"","parse-names":false,"suffix":""}],"container-title":"Journal of Asian Finance, Economics and Business","id":"ITEM-1","issue":"12","issued":{"date-parts":[["2020"]]},"page":"739-748","title":"Determinants of Profit Growth in Food and Beverage Companies in Indonesia","type":"article-journal","volume":"7"},"uris":["http://www.mendeley.com/documents/?uuid=7582e5fe-731f-43bb-817c-16a910fdea4f","http://www.mendeley.com/documents/?uuid=0ca7d321-538f-4506-ac3c-9f50c9085468"]}],"mendeley":{"formattedCitation":"(Endri et al., 2020)","manualFormatting":"Endri et al., (2020) ","plainTextFormattedCitation":"(Endri et al., 2020)","previouslyFormattedCitation":"(Endri et al., 2020)"},"properties":{"noteIndex":0},"schema":"https://github.com/citation-style-language/schema/raw/master/csl-citation.json"}</w:instrText>
      </w:r>
      <w:r w:rsidR="009E7581" w:rsidRPr="0071681A">
        <w:rPr>
          <w:sz w:val="22"/>
          <w:szCs w:val="22"/>
        </w:rPr>
        <w:fldChar w:fldCharType="separate"/>
      </w:r>
      <w:r w:rsidR="009E7581" w:rsidRPr="0071681A">
        <w:rPr>
          <w:noProof/>
          <w:sz w:val="22"/>
          <w:szCs w:val="22"/>
        </w:rPr>
        <w:t xml:space="preserve">Endri et al., (2020) </w:t>
      </w:r>
      <w:r w:rsidR="009E7581" w:rsidRPr="0071681A">
        <w:rPr>
          <w:sz w:val="22"/>
          <w:szCs w:val="22"/>
        </w:rPr>
        <w:fldChar w:fldCharType="end"/>
      </w:r>
      <w:r w:rsidRPr="00E510C7">
        <w:t xml:space="preserve"> </w:t>
      </w:r>
      <w:r w:rsidRPr="00E510C7">
        <w:rPr>
          <w:sz w:val="22"/>
          <w:szCs w:val="22"/>
        </w:rPr>
        <w:t>Liquidity ratios, solvency ratios, activity ratios, profitability ratios, and growth ratios are the broad categories into which the many different types of financial ratios fall. Sales Growth, Profitability, Liquidity, and Leverage are the only four variables outside of control that this study takes into account to determine how they affect profit growth</w:t>
      </w:r>
      <w:r w:rsidR="009E7581" w:rsidRPr="0071681A">
        <w:rPr>
          <w:sz w:val="22"/>
          <w:szCs w:val="22"/>
        </w:rPr>
        <w:t>.</w:t>
      </w:r>
    </w:p>
    <w:p w14:paraId="0EE172CB" w14:textId="77777777" w:rsidR="0071681A" w:rsidRPr="0071681A" w:rsidRDefault="0071681A" w:rsidP="0071681A">
      <w:pPr>
        <w:ind w:firstLine="567"/>
        <w:jc w:val="both"/>
        <w:rPr>
          <w:sz w:val="22"/>
          <w:szCs w:val="22"/>
        </w:rPr>
      </w:pPr>
    </w:p>
    <w:p w14:paraId="0C79B0D7" w14:textId="72C129DB" w:rsidR="009E7581" w:rsidRPr="0071681A" w:rsidRDefault="0071681A" w:rsidP="0071681A">
      <w:pPr>
        <w:rPr>
          <w:b/>
          <w:sz w:val="22"/>
          <w:szCs w:val="22"/>
        </w:rPr>
      </w:pPr>
      <w:r w:rsidRPr="0071681A">
        <w:rPr>
          <w:b/>
          <w:sz w:val="22"/>
          <w:szCs w:val="22"/>
        </w:rPr>
        <w:t xml:space="preserve">1.1 </w:t>
      </w:r>
      <w:r w:rsidR="009E7581" w:rsidRPr="0071681A">
        <w:rPr>
          <w:b/>
          <w:sz w:val="22"/>
          <w:szCs w:val="22"/>
        </w:rPr>
        <w:t>Research Problem</w:t>
      </w:r>
    </w:p>
    <w:p w14:paraId="3381E28D" w14:textId="2D48829E" w:rsidR="009E7581" w:rsidRPr="0071681A" w:rsidRDefault="009E7581" w:rsidP="0071681A">
      <w:pPr>
        <w:pStyle w:val="ListParagraph"/>
        <w:numPr>
          <w:ilvl w:val="0"/>
          <w:numId w:val="21"/>
        </w:numPr>
        <w:jc w:val="both"/>
        <w:rPr>
          <w:sz w:val="22"/>
          <w:szCs w:val="22"/>
        </w:rPr>
      </w:pPr>
      <w:r w:rsidRPr="0071681A">
        <w:rPr>
          <w:sz w:val="22"/>
          <w:szCs w:val="22"/>
        </w:rPr>
        <w:t xml:space="preserve">Do Sales Growth, Profitability, Liquidity and </w:t>
      </w:r>
      <w:r w:rsidRPr="0091636C">
        <w:rPr>
          <w:iCs/>
          <w:sz w:val="22"/>
          <w:szCs w:val="22"/>
        </w:rPr>
        <w:t>Leverage</w:t>
      </w:r>
      <w:r w:rsidRPr="0071681A">
        <w:rPr>
          <w:sz w:val="22"/>
          <w:szCs w:val="22"/>
        </w:rPr>
        <w:t xml:space="preserve">, together </w:t>
      </w:r>
      <w:r w:rsidR="00FF618E">
        <w:rPr>
          <w:sz w:val="22"/>
          <w:szCs w:val="22"/>
        </w:rPr>
        <w:t>affect</w:t>
      </w:r>
      <w:r w:rsidRPr="0071681A">
        <w:rPr>
          <w:sz w:val="22"/>
          <w:szCs w:val="22"/>
        </w:rPr>
        <w:t xml:space="preserve"> Profit Growth?</w:t>
      </w:r>
    </w:p>
    <w:p w14:paraId="18DD08C7" w14:textId="77777777" w:rsidR="009E7581" w:rsidRPr="0071681A" w:rsidRDefault="009E7581" w:rsidP="0071681A">
      <w:pPr>
        <w:pStyle w:val="ListParagraph"/>
        <w:numPr>
          <w:ilvl w:val="0"/>
          <w:numId w:val="21"/>
        </w:numPr>
        <w:jc w:val="both"/>
        <w:rPr>
          <w:sz w:val="22"/>
          <w:szCs w:val="22"/>
        </w:rPr>
      </w:pPr>
      <w:r w:rsidRPr="0071681A">
        <w:rPr>
          <w:sz w:val="22"/>
          <w:szCs w:val="22"/>
        </w:rPr>
        <w:t>How does Sales Growth affect Profit Growth?</w:t>
      </w:r>
    </w:p>
    <w:p w14:paraId="72A66DB1" w14:textId="77777777" w:rsidR="009E7581" w:rsidRPr="0071681A" w:rsidRDefault="009E7581" w:rsidP="0071681A">
      <w:pPr>
        <w:pStyle w:val="ListParagraph"/>
        <w:numPr>
          <w:ilvl w:val="0"/>
          <w:numId w:val="21"/>
        </w:numPr>
        <w:jc w:val="both"/>
        <w:rPr>
          <w:sz w:val="22"/>
          <w:szCs w:val="22"/>
        </w:rPr>
      </w:pPr>
      <w:r w:rsidRPr="0071681A">
        <w:rPr>
          <w:sz w:val="22"/>
          <w:szCs w:val="22"/>
        </w:rPr>
        <w:t>How does Profitability affect Profit Growth?</w:t>
      </w:r>
    </w:p>
    <w:p w14:paraId="75CB105D" w14:textId="77777777" w:rsidR="009E7581" w:rsidRPr="0071681A" w:rsidRDefault="009E7581" w:rsidP="0071681A">
      <w:pPr>
        <w:pStyle w:val="ListParagraph"/>
        <w:numPr>
          <w:ilvl w:val="0"/>
          <w:numId w:val="21"/>
        </w:numPr>
        <w:jc w:val="both"/>
        <w:rPr>
          <w:sz w:val="22"/>
          <w:szCs w:val="22"/>
        </w:rPr>
      </w:pPr>
      <w:r w:rsidRPr="0071681A">
        <w:rPr>
          <w:sz w:val="22"/>
          <w:szCs w:val="22"/>
        </w:rPr>
        <w:t>How does Liquidity affect Profit Growth?</w:t>
      </w:r>
    </w:p>
    <w:p w14:paraId="0A3FC3BD" w14:textId="79FD8D57" w:rsidR="009E7581" w:rsidRPr="0071681A" w:rsidRDefault="009E7581" w:rsidP="0071681A">
      <w:pPr>
        <w:pStyle w:val="ListParagraph"/>
        <w:numPr>
          <w:ilvl w:val="0"/>
          <w:numId w:val="21"/>
        </w:numPr>
        <w:jc w:val="both"/>
        <w:rPr>
          <w:sz w:val="22"/>
          <w:szCs w:val="22"/>
        </w:rPr>
      </w:pPr>
      <w:r w:rsidRPr="0071681A">
        <w:rPr>
          <w:sz w:val="22"/>
          <w:szCs w:val="22"/>
        </w:rPr>
        <w:t xml:space="preserve">How does </w:t>
      </w:r>
      <w:r w:rsidRPr="0091636C">
        <w:rPr>
          <w:iCs/>
          <w:sz w:val="22"/>
          <w:szCs w:val="22"/>
        </w:rPr>
        <w:t>Leverage</w:t>
      </w:r>
      <w:r w:rsidRPr="0071681A">
        <w:rPr>
          <w:i/>
          <w:sz w:val="22"/>
          <w:szCs w:val="22"/>
        </w:rPr>
        <w:t xml:space="preserve"> </w:t>
      </w:r>
      <w:r w:rsidRPr="0071681A">
        <w:rPr>
          <w:sz w:val="22"/>
          <w:szCs w:val="22"/>
        </w:rPr>
        <w:t>affect Profit Growth?</w:t>
      </w:r>
    </w:p>
    <w:p w14:paraId="0F243A45" w14:textId="77777777" w:rsidR="0071681A" w:rsidRPr="0071681A" w:rsidRDefault="0071681A" w:rsidP="0071681A">
      <w:pPr>
        <w:pStyle w:val="ListParagraph"/>
        <w:ind w:left="360"/>
        <w:jc w:val="both"/>
        <w:rPr>
          <w:sz w:val="22"/>
          <w:szCs w:val="22"/>
        </w:rPr>
      </w:pPr>
    </w:p>
    <w:p w14:paraId="4B44D831" w14:textId="79507DA8" w:rsidR="009E7581" w:rsidRPr="0071681A" w:rsidRDefault="0071681A" w:rsidP="0071681A">
      <w:pPr>
        <w:jc w:val="both"/>
        <w:rPr>
          <w:b/>
          <w:sz w:val="22"/>
          <w:szCs w:val="22"/>
        </w:rPr>
      </w:pPr>
      <w:r w:rsidRPr="0071681A">
        <w:rPr>
          <w:b/>
          <w:sz w:val="22"/>
          <w:szCs w:val="22"/>
        </w:rPr>
        <w:t xml:space="preserve">1.2 </w:t>
      </w:r>
      <w:r w:rsidR="009E7581" w:rsidRPr="0071681A">
        <w:rPr>
          <w:b/>
          <w:sz w:val="22"/>
          <w:szCs w:val="22"/>
        </w:rPr>
        <w:t>Research Purposes</w:t>
      </w:r>
    </w:p>
    <w:p w14:paraId="2B26A1EC" w14:textId="2B5F6929" w:rsidR="009E7581" w:rsidRPr="00F20C9C" w:rsidRDefault="00E510C7" w:rsidP="00F20C9C">
      <w:pPr>
        <w:ind w:firstLine="567"/>
        <w:jc w:val="both"/>
        <w:rPr>
          <w:sz w:val="22"/>
          <w:szCs w:val="22"/>
        </w:rPr>
      </w:pPr>
      <w:bookmarkStart w:id="0" w:name="_Toc88630829"/>
      <w:bookmarkStart w:id="1" w:name="_Toc88631572"/>
      <w:bookmarkStart w:id="2" w:name="_Toc88689135"/>
      <w:bookmarkStart w:id="3" w:name="_Toc88689912"/>
      <w:bookmarkStart w:id="4" w:name="_Toc89140445"/>
      <w:bookmarkStart w:id="5" w:name="_Toc91132851"/>
      <w:r w:rsidRPr="00E510C7">
        <w:rPr>
          <w:sz w:val="22"/>
          <w:szCs w:val="22"/>
        </w:rPr>
        <w:t>Considering the aforementioned problem statement, it is clear that the goal of this research is to collect data that can provide concrete evidence fo</w:t>
      </w:r>
      <w:r>
        <w:rPr>
          <w:sz w:val="22"/>
          <w:szCs w:val="22"/>
        </w:rPr>
        <w:t>r</w:t>
      </w:r>
      <w:r w:rsidR="009E7581" w:rsidRPr="00F20C9C">
        <w:rPr>
          <w:sz w:val="22"/>
          <w:szCs w:val="22"/>
        </w:rPr>
        <w:t>:</w:t>
      </w:r>
      <w:bookmarkEnd w:id="0"/>
      <w:bookmarkEnd w:id="1"/>
      <w:bookmarkEnd w:id="2"/>
      <w:bookmarkEnd w:id="3"/>
      <w:bookmarkEnd w:id="4"/>
      <w:bookmarkEnd w:id="5"/>
    </w:p>
    <w:p w14:paraId="041EB793" w14:textId="69761508" w:rsidR="009E7581" w:rsidRPr="0071681A" w:rsidRDefault="009E7581" w:rsidP="0071681A">
      <w:pPr>
        <w:pStyle w:val="ListParagraph"/>
        <w:numPr>
          <w:ilvl w:val="0"/>
          <w:numId w:val="22"/>
        </w:numPr>
        <w:jc w:val="both"/>
        <w:rPr>
          <w:sz w:val="22"/>
          <w:szCs w:val="22"/>
        </w:rPr>
      </w:pPr>
      <w:r w:rsidRPr="0071681A">
        <w:rPr>
          <w:sz w:val="22"/>
          <w:szCs w:val="22"/>
        </w:rPr>
        <w:t xml:space="preserve">The Effect of Sales Growth, Profitability, Liquidity and </w:t>
      </w:r>
      <w:r w:rsidRPr="0091636C">
        <w:rPr>
          <w:iCs/>
          <w:sz w:val="22"/>
          <w:szCs w:val="22"/>
        </w:rPr>
        <w:t>Leverage</w:t>
      </w:r>
      <w:r w:rsidRPr="0071681A">
        <w:rPr>
          <w:sz w:val="22"/>
          <w:szCs w:val="22"/>
        </w:rPr>
        <w:t>, on Profit Growth.</w:t>
      </w:r>
    </w:p>
    <w:p w14:paraId="297537E7" w14:textId="77777777" w:rsidR="009E7581" w:rsidRPr="0071681A" w:rsidRDefault="009E7581" w:rsidP="0071681A">
      <w:pPr>
        <w:pStyle w:val="ListParagraph"/>
        <w:numPr>
          <w:ilvl w:val="0"/>
          <w:numId w:val="22"/>
        </w:numPr>
        <w:jc w:val="both"/>
        <w:rPr>
          <w:sz w:val="22"/>
          <w:szCs w:val="22"/>
        </w:rPr>
      </w:pPr>
      <w:r w:rsidRPr="0071681A">
        <w:rPr>
          <w:sz w:val="22"/>
          <w:szCs w:val="22"/>
        </w:rPr>
        <w:t>The Effect of Sales Growth on Profit Growth.</w:t>
      </w:r>
    </w:p>
    <w:p w14:paraId="10EE66EC" w14:textId="77777777" w:rsidR="009E7581" w:rsidRPr="0071681A" w:rsidRDefault="009E7581" w:rsidP="0071681A">
      <w:pPr>
        <w:pStyle w:val="ListParagraph"/>
        <w:numPr>
          <w:ilvl w:val="0"/>
          <w:numId w:val="22"/>
        </w:numPr>
        <w:jc w:val="both"/>
        <w:rPr>
          <w:sz w:val="22"/>
          <w:szCs w:val="22"/>
        </w:rPr>
      </w:pPr>
      <w:r w:rsidRPr="0071681A">
        <w:rPr>
          <w:sz w:val="22"/>
          <w:szCs w:val="22"/>
        </w:rPr>
        <w:t>The Effect of Profitability on Profit Growth.</w:t>
      </w:r>
    </w:p>
    <w:p w14:paraId="24EF2295" w14:textId="77777777" w:rsidR="009E7581" w:rsidRPr="0071681A" w:rsidRDefault="009E7581" w:rsidP="0071681A">
      <w:pPr>
        <w:pStyle w:val="ListParagraph"/>
        <w:numPr>
          <w:ilvl w:val="0"/>
          <w:numId w:val="22"/>
        </w:numPr>
        <w:jc w:val="both"/>
        <w:rPr>
          <w:sz w:val="22"/>
          <w:szCs w:val="22"/>
        </w:rPr>
      </w:pPr>
      <w:r w:rsidRPr="0071681A">
        <w:rPr>
          <w:sz w:val="22"/>
          <w:szCs w:val="22"/>
        </w:rPr>
        <w:t>Effect of Liquidity on Profit Growth.</w:t>
      </w:r>
    </w:p>
    <w:p w14:paraId="050E8679" w14:textId="220B58EE" w:rsidR="009E7581" w:rsidRPr="0071681A" w:rsidRDefault="009E7581" w:rsidP="0071681A">
      <w:pPr>
        <w:pStyle w:val="ListParagraph"/>
        <w:numPr>
          <w:ilvl w:val="0"/>
          <w:numId w:val="22"/>
        </w:numPr>
        <w:jc w:val="both"/>
        <w:rPr>
          <w:sz w:val="22"/>
          <w:szCs w:val="22"/>
        </w:rPr>
      </w:pPr>
      <w:r w:rsidRPr="0071681A">
        <w:rPr>
          <w:sz w:val="22"/>
          <w:szCs w:val="22"/>
        </w:rPr>
        <w:t xml:space="preserve">Effect of </w:t>
      </w:r>
      <w:r w:rsidRPr="0091636C">
        <w:rPr>
          <w:iCs/>
          <w:sz w:val="22"/>
          <w:szCs w:val="22"/>
        </w:rPr>
        <w:t>Leverage on Profit Growth.</w:t>
      </w:r>
    </w:p>
    <w:p w14:paraId="285F6A52" w14:textId="77777777" w:rsidR="009E7581" w:rsidRPr="0071681A" w:rsidRDefault="009E7581" w:rsidP="0071681A">
      <w:pPr>
        <w:pStyle w:val="ListParagraph"/>
        <w:ind w:left="360" w:firstLine="567"/>
        <w:jc w:val="both"/>
        <w:rPr>
          <w:sz w:val="22"/>
          <w:szCs w:val="22"/>
        </w:rPr>
      </w:pPr>
    </w:p>
    <w:p w14:paraId="04183AEC" w14:textId="0558DFDD" w:rsidR="006459CF" w:rsidRPr="0071681A" w:rsidRDefault="009E7581" w:rsidP="0091636C">
      <w:pPr>
        <w:pStyle w:val="Heading1"/>
        <w:numPr>
          <w:ilvl w:val="0"/>
          <w:numId w:val="6"/>
        </w:numPr>
        <w:suppressAutoHyphens/>
        <w:spacing w:after="60"/>
        <w:ind w:left="360"/>
        <w:rPr>
          <w:i w:val="0"/>
          <w:sz w:val="22"/>
          <w:szCs w:val="22"/>
        </w:rPr>
      </w:pPr>
      <w:r w:rsidRPr="0071681A">
        <w:rPr>
          <w:i w:val="0"/>
          <w:sz w:val="22"/>
          <w:szCs w:val="22"/>
        </w:rPr>
        <w:t>LITERATURE REVIEW</w:t>
      </w:r>
    </w:p>
    <w:p w14:paraId="4BCBCA1B" w14:textId="48DFC894" w:rsidR="009E7581" w:rsidRPr="0071681A" w:rsidRDefault="0071681A" w:rsidP="0091636C">
      <w:pPr>
        <w:jc w:val="both"/>
        <w:rPr>
          <w:b/>
          <w:sz w:val="22"/>
          <w:szCs w:val="22"/>
        </w:rPr>
      </w:pPr>
      <w:r w:rsidRPr="0071681A">
        <w:rPr>
          <w:b/>
          <w:sz w:val="22"/>
          <w:szCs w:val="22"/>
        </w:rPr>
        <w:t xml:space="preserve">2.1 </w:t>
      </w:r>
      <w:r w:rsidR="009E7581" w:rsidRPr="0071681A">
        <w:rPr>
          <w:b/>
          <w:sz w:val="22"/>
          <w:szCs w:val="22"/>
        </w:rPr>
        <w:t>Signalling Theory</w:t>
      </w:r>
    </w:p>
    <w:p w14:paraId="6415422D" w14:textId="4B6FCBA2" w:rsidR="009E7581" w:rsidRPr="0071681A" w:rsidRDefault="009E7581" w:rsidP="0071681A">
      <w:pPr>
        <w:ind w:firstLine="567"/>
        <w:jc w:val="both"/>
        <w:rPr>
          <w:sz w:val="22"/>
          <w:szCs w:val="22"/>
        </w:rPr>
      </w:pPr>
      <w:r w:rsidRPr="0071681A">
        <w:rPr>
          <w:sz w:val="22"/>
          <w:szCs w:val="22"/>
        </w:rPr>
        <w:t xml:space="preserve">According to </w:t>
      </w:r>
      <w:r w:rsidRPr="0071681A">
        <w:rPr>
          <w:sz w:val="22"/>
          <w:szCs w:val="22"/>
        </w:rPr>
        <w:fldChar w:fldCharType="begin" w:fldLock="1"/>
      </w:r>
      <w:r w:rsidR="00D32A38">
        <w:rPr>
          <w:sz w:val="22"/>
          <w:szCs w:val="22"/>
        </w:rPr>
        <w:instrText>ADDIN CSL_CITATION {"citationItems":[{"id":"ITEM-1","itemData":{"ISBN":"978-981-4319-14-0 (jil. 1)","author":[{"dropping-particle":"","family":"Brigham","given":"Eugene F","non-dropping-particle":"","parse-names":false,"suffix":""},{"dropping-particle":"","family":"Houston","given":"Joel F","non-dropping-particle":"","parse-names":false,"suffix":""}],"edition":"Edisi 11","id":"ITEM-1","issued":{"date-parts":[["2010"]]},"number-of-pages":"486","publisher":"Salemba Empat","publisher-place":"Jakarta","title":"Dasar-dasar Manajemen Keuangan","type":"book"},"uris":["http://www.mendeley.com/documents/?uuid=90b29096-f683-4295-8b92-47b651acf7cd","http://www.mendeley.com/documents/?uuid=05915361-767d-47c2-af46-7724043392af"]}],"mendeley":{"formattedCitation":"(Brigham &amp; Houston, 2010)","manualFormatting":"(Brigham &amp; Houston, 2010) ","plainTextFormattedCitation":"(Brigham &amp; Houston, 2010)","previouslyFormattedCitation":"(Brigham &amp; Houston, 2010)"},"properties":{"noteIndex":0},"schema":"https://github.com/citation-style-language/schema/raw/master/csl-citation.json"}</w:instrText>
      </w:r>
      <w:r w:rsidRPr="0071681A">
        <w:rPr>
          <w:sz w:val="22"/>
          <w:szCs w:val="22"/>
        </w:rPr>
        <w:fldChar w:fldCharType="separate"/>
      </w:r>
      <w:r w:rsidRPr="0071681A">
        <w:rPr>
          <w:noProof/>
          <w:sz w:val="22"/>
          <w:szCs w:val="22"/>
        </w:rPr>
        <w:t xml:space="preserve">(Brigham &amp; Houston, 2010) </w:t>
      </w:r>
      <w:r w:rsidRPr="0071681A">
        <w:rPr>
          <w:sz w:val="22"/>
          <w:szCs w:val="22"/>
        </w:rPr>
        <w:fldChar w:fldCharType="end"/>
      </w:r>
      <w:r w:rsidR="00E510C7" w:rsidRPr="00E510C7">
        <w:t xml:space="preserve"> </w:t>
      </w:r>
      <w:r w:rsidR="00E510C7" w:rsidRPr="00E510C7">
        <w:rPr>
          <w:sz w:val="22"/>
          <w:szCs w:val="22"/>
        </w:rPr>
        <w:t>According to signal theory, when a company's management does something, it is sending signals or instructions to investors about the company's future. In this case, the profit growth of the company is the indication that management's efforts have been successful in delivering on the owner's goals</w:t>
      </w:r>
      <w:r w:rsidRPr="0071681A">
        <w:rPr>
          <w:sz w:val="22"/>
          <w:szCs w:val="22"/>
        </w:rPr>
        <w:t xml:space="preserve">. According to </w:t>
      </w:r>
      <w:r w:rsidRPr="0071681A">
        <w:rPr>
          <w:sz w:val="22"/>
          <w:szCs w:val="22"/>
        </w:rPr>
        <w:fldChar w:fldCharType="begin" w:fldLock="1"/>
      </w:r>
      <w:r w:rsidR="00D32A38">
        <w:rPr>
          <w:sz w:val="22"/>
          <w:szCs w:val="22"/>
        </w:rPr>
        <w:instrText>ADDIN CSL_CITATION {"citationItems":[{"id":"ITEM-1","itemData":{"author":[{"dropping-particle":"","family":"Prihartanty","given":"R","non-dropping-particle":"","parse-names":false,"suffix":""}],"id":"ITEM-1","issued":{"date-parts":[["2010"]]},"publisher":"Universitas Diponegoro","title":"Analisis Pengaruh Rasio Likuiditas, Rasio Leverage, Rasio Aktivitas, dan Rasio Profitabilitas terhadap Net Income Growth (Studi Pada Perusahaan Perdagangan Retail yang Listed di BEI Periode 2005-2009)","type":"thesis"},"uris":["http://www.mendeley.com/documents/?uuid=db7f0495-72f4-41bd-86a3-f4ced521467c","http://www.mendeley.com/documents/?uuid=0f1584f5-0975-4da1-9532-ce7348b84468"]}],"mendeley":{"formattedCitation":"(Prihartanty, 2010)","manualFormatting":"(Prihartanty, 2010) ","plainTextFormattedCitation":"(Prihartanty, 2010)","previouslyFormattedCitation":"(Prihartanty, 2010)"},"properties":{"noteIndex":0},"schema":"https://github.com/citation-style-language/schema/raw/master/csl-citation.json"}</w:instrText>
      </w:r>
      <w:r w:rsidRPr="0071681A">
        <w:rPr>
          <w:sz w:val="22"/>
          <w:szCs w:val="22"/>
        </w:rPr>
        <w:fldChar w:fldCharType="separate"/>
      </w:r>
      <w:r w:rsidRPr="0071681A">
        <w:rPr>
          <w:noProof/>
          <w:sz w:val="22"/>
          <w:szCs w:val="22"/>
        </w:rPr>
        <w:t xml:space="preserve">(Prihartanty, 2010) </w:t>
      </w:r>
      <w:r w:rsidRPr="0071681A">
        <w:rPr>
          <w:sz w:val="22"/>
          <w:szCs w:val="22"/>
        </w:rPr>
        <w:fldChar w:fldCharType="end"/>
      </w:r>
      <w:r w:rsidR="00E510C7" w:rsidRPr="00E510C7">
        <w:t xml:space="preserve"> </w:t>
      </w:r>
      <w:r w:rsidR="00E510C7" w:rsidRPr="00E510C7">
        <w:rPr>
          <w:sz w:val="22"/>
          <w:szCs w:val="22"/>
        </w:rPr>
        <w:t>A rising trend in annual profits is an encouraging sign for the company's future success. The rate of increase in a firm's net profit is one indicator of its success; the higher the profit the company generates, the more successful it is</w:t>
      </w:r>
      <w:r w:rsidRPr="0071681A">
        <w:rPr>
          <w:sz w:val="22"/>
          <w:szCs w:val="22"/>
        </w:rPr>
        <w:t>.</w:t>
      </w:r>
    </w:p>
    <w:p w14:paraId="728FBA9C" w14:textId="77777777" w:rsidR="00F20C9C" w:rsidRDefault="00F20C9C" w:rsidP="00F20C9C">
      <w:pPr>
        <w:jc w:val="both"/>
        <w:rPr>
          <w:b/>
          <w:sz w:val="22"/>
          <w:szCs w:val="22"/>
        </w:rPr>
      </w:pPr>
    </w:p>
    <w:p w14:paraId="1E98A66B" w14:textId="104CEF94" w:rsidR="009E7581" w:rsidRPr="0071681A" w:rsidRDefault="009E7581" w:rsidP="00F20C9C">
      <w:pPr>
        <w:jc w:val="both"/>
        <w:rPr>
          <w:b/>
          <w:sz w:val="22"/>
          <w:szCs w:val="22"/>
        </w:rPr>
      </w:pPr>
      <w:r w:rsidRPr="0071681A">
        <w:rPr>
          <w:b/>
          <w:sz w:val="22"/>
          <w:szCs w:val="22"/>
        </w:rPr>
        <w:t>Profit Growth</w:t>
      </w:r>
    </w:p>
    <w:p w14:paraId="61352A31" w14:textId="3128B611" w:rsidR="009E7581" w:rsidRDefault="009E7581" w:rsidP="0071681A">
      <w:pPr>
        <w:ind w:firstLine="567"/>
        <w:jc w:val="both"/>
        <w:rPr>
          <w:sz w:val="22"/>
          <w:szCs w:val="22"/>
        </w:rPr>
      </w:pPr>
      <w:r w:rsidRPr="0071681A">
        <w:rPr>
          <w:sz w:val="22"/>
          <w:szCs w:val="22"/>
        </w:rPr>
        <w:t xml:space="preserve">According to </w:t>
      </w:r>
      <w:r w:rsidRPr="0071681A">
        <w:rPr>
          <w:sz w:val="22"/>
          <w:szCs w:val="22"/>
        </w:rPr>
        <w:fldChar w:fldCharType="begin" w:fldLock="1"/>
      </w:r>
      <w:r w:rsidR="00D32A38">
        <w:rPr>
          <w:sz w:val="22"/>
          <w:szCs w:val="22"/>
        </w:rPr>
        <w:instrText>ADDIN CSL_CITATION {"citationItems":[{"id":"ITEM-1","itemData":{"DOI":"10.26533/eksis.v12i2.108","ISSN":"1907-7513","abstract":"The purpose of this study is to analyze the financial ratios to profit growth of banking companies in BEI. Researchers conduct research development by increasing the use of more financial ratios in viewing profit growth, namely: liquidity ratio, solvency ratio, profitability ratio, bank financial ratios, and market ratios. The type of data used in this study is secondary data in the form of annual reports of banking companies listed on the Stock Exchange in 2012-2016, the data used is cross section data. Sampling technique used is purposive sampling, so the samples obtained 14 banking companies. The analysis technique used is multiple regression. The results showed that only ROE variable that partially affect the profit growth in banking companies in the period 2012-2016. While BOPO, DAR, ROE, LAR, RR, NPL, CAR, DPR, CR, Cash Ratio, TIE, PER simultaneously have significant effect to profit growth in banking company in BEI period 2012-2016.","author":[{"dropping-particle":"","family":"Febrianty","given":"","non-dropping-particle":"","parse-names":false,"suffix":""},{"dropping-particle":"","family":"Divianto","given":"","non-dropping-particle":"","parse-names":false,"suffix":""}],"container-title":"Eksis: Jurnal Riset Ekonomi dan Bisnis","id":"ITEM-1","issue":"2","issued":{"date-parts":[["2017"]]},"page":"109-125","title":"Pengaruh Rasio Keuangan Terhadap Pertumbuhan Laba Perusahaan Perbankan","type":"article-journal","volume":"12"},"uris":["http://www.mendeley.com/documents/?uuid=e08d3156-3583-43ad-a5ea-08366d060cf2","http://www.mendeley.com/documents/?uuid=8e190657-bed4-484e-a29e-7cc2109651f4"]}],"mendeley":{"formattedCitation":"(Febrianty &amp; Divianto, 2017)","manualFormatting":"Febrianty &amp; Divianto, (2017) ","plainTextFormattedCitation":"(Febrianty &amp; Divianto, 2017)","previouslyFormattedCitation":"(Febrianty &amp; Divianto, 2017)"},"properties":{"noteIndex":0},"schema":"https://github.com/citation-style-language/schema/raw/master/csl-citation.json"}</w:instrText>
      </w:r>
      <w:r w:rsidRPr="0071681A">
        <w:rPr>
          <w:sz w:val="22"/>
          <w:szCs w:val="22"/>
        </w:rPr>
        <w:fldChar w:fldCharType="separate"/>
      </w:r>
      <w:r w:rsidRPr="0071681A">
        <w:rPr>
          <w:noProof/>
          <w:sz w:val="22"/>
          <w:szCs w:val="22"/>
        </w:rPr>
        <w:t xml:space="preserve">Febrianty &amp; Divianto, (2017) </w:t>
      </w:r>
      <w:r w:rsidRPr="0071681A">
        <w:rPr>
          <w:sz w:val="22"/>
          <w:szCs w:val="22"/>
        </w:rPr>
        <w:fldChar w:fldCharType="end"/>
      </w:r>
      <w:r w:rsidR="00E510C7" w:rsidRPr="00E510C7">
        <w:t xml:space="preserve"> </w:t>
      </w:r>
      <w:r w:rsidR="00E510C7" w:rsidRPr="00E510C7">
        <w:rPr>
          <w:sz w:val="22"/>
          <w:szCs w:val="22"/>
        </w:rPr>
        <w:t>increase in net income as a percentage of the preceding year is the measure of profit growth. The rate of increase in a company's earnings is a useful indicator of how well the business is doing as a whole</w:t>
      </w:r>
      <w:r w:rsidRPr="0071681A">
        <w:rPr>
          <w:sz w:val="22"/>
          <w:szCs w:val="22"/>
        </w:rPr>
        <w:t xml:space="preserve"> </w:t>
      </w:r>
      <w:r w:rsidRPr="0071681A">
        <w:rPr>
          <w:sz w:val="22"/>
          <w:szCs w:val="22"/>
        </w:rPr>
        <w:fldChar w:fldCharType="begin" w:fldLock="1"/>
      </w:r>
      <w:r w:rsidR="00D32A38">
        <w:rPr>
          <w:sz w:val="22"/>
          <w:szCs w:val="22"/>
        </w:rPr>
        <w:instrText>ADDIN CSL_CITATION {"citationItems":[{"id":"ITEM-1","itemData":{"abstract":"Pertumbuhan laba merupakan salah satu ukuran kinerja perusahaan, yang dimana kinerja perusahaan dapat diukur melalui kinerja keuangan. Pertumbuhan laba merupakan peningkatan persentase kenaikan laba dari periode sebelumnya ke periode sekarang. Penelitian ini bertujuan untuk mengetahui pengaruh dari likuiditas, leverage dan rasio aktivitas terhadap pertumbuhan laba baik secara parsial maupun secara simultan. Sampel penelitian terdiri dari 14 perusahaan subsektor food and beverages yang terdaftar di Bursa Efek Indonesia pada tahun 2016-2019. Penelitian ini menggunakan analisis regresi linier berganda. Hasil analisis data menunjukkan bahwa secara parsial variabel likuiditas dan leverage berpengaruh signifikan dan positif terhadap pertumbuhan laba. Sedangkan variabel rasio aktvitas tidak berpengaruh signifikan terhadap pertumbuhan laba.","author":[{"dropping-particle":"","family":"Sandjaja","given":"Aprilia Eka","non-dropping-particle":"","parse-names":false,"suffix":""},{"dropping-particle":"","family":"Suwaidi","given":"Rahman Amrullah","non-dropping-particle":"","parse-names":false,"suffix":""}],"container-title":"Jurnal Sosial, Ekonomi, dan Politik","id":"ITEM-1","issue":"3","issued":{"date-parts":[["2021"]]},"page":"17-25","title":"Pengaruh Likuiditas, Leverage, Dan Rasio Aktivitas Terhadap Pertumbuhan Laba Pada Perusahaan Food and Beverages Yang Terdaftar Di Bursa Efek Indonesia","type":"article-journal","volume":"2"},"uris":["http://www.mendeley.com/documents/?uuid=23213113-815f-4279-a253-aca01948edbc","http://www.mendeley.com/documents/?uuid=cd3b83d5-fea4-4a2e-bf67-88a2de146792"]}],"mendeley":{"formattedCitation":"(Sandjaja &amp; Suwaidi, 2021)","plainTextFormattedCitation":"(Sandjaja &amp; Suwaidi, 2021)","previouslyFormattedCitation":"(Sandjaja &amp; Suwaidi, 2021)"},"properties":{"noteIndex":0},"schema":"https://github.com/citation-style-language/schema/raw/master/csl-citation.json"}</w:instrText>
      </w:r>
      <w:r w:rsidRPr="0071681A">
        <w:rPr>
          <w:sz w:val="22"/>
          <w:szCs w:val="22"/>
        </w:rPr>
        <w:fldChar w:fldCharType="separate"/>
      </w:r>
      <w:r w:rsidRPr="0071681A">
        <w:rPr>
          <w:noProof/>
          <w:sz w:val="22"/>
          <w:szCs w:val="22"/>
        </w:rPr>
        <w:t>(Sandjaja &amp; Suwaidi, 2021)</w:t>
      </w:r>
      <w:r w:rsidRPr="0071681A">
        <w:rPr>
          <w:sz w:val="22"/>
          <w:szCs w:val="22"/>
        </w:rPr>
        <w:fldChar w:fldCharType="end"/>
      </w:r>
      <w:r w:rsidRPr="0071681A">
        <w:rPr>
          <w:sz w:val="22"/>
          <w:szCs w:val="22"/>
        </w:rPr>
        <w:t xml:space="preserve">. </w:t>
      </w:r>
      <w:r w:rsidR="00F3219E" w:rsidRPr="00F3219E">
        <w:rPr>
          <w:sz w:val="22"/>
          <w:szCs w:val="22"/>
        </w:rPr>
        <w:t>Profit expansion is determined by dividing the current period's profit by the prior period's profit and then comparing the result to the previous period's profit expansion</w:t>
      </w:r>
      <w:r w:rsidR="00F3219E">
        <w:rPr>
          <w:sz w:val="22"/>
          <w:szCs w:val="22"/>
        </w:rPr>
        <w:t xml:space="preserve"> </w:t>
      </w:r>
      <w:r w:rsidRPr="0071681A">
        <w:rPr>
          <w:sz w:val="22"/>
          <w:szCs w:val="22"/>
        </w:rPr>
        <w:t>(</w:t>
      </w:r>
      <w:r w:rsidRPr="0071681A">
        <w:rPr>
          <w:sz w:val="22"/>
          <w:szCs w:val="22"/>
        </w:rPr>
        <w:fldChar w:fldCharType="begin" w:fldLock="1"/>
      </w:r>
      <w:r w:rsidR="00D32A38">
        <w:rPr>
          <w:sz w:val="22"/>
          <w:szCs w:val="22"/>
        </w:rPr>
        <w:instrText>ADDIN CSL_CITATION {"citationItems":[{"id":"ITEM-1","itemData":{"ISSN":"2774-2288","abstract":"This study aims to determine the effect of financial ratios on profit growth in food and beverage industry companies listed on the IDX in the 2010-2019 period. The population in this study are all companies listed on the IDX for the 2010-2019 period with a total of 33 companies. The sample used in this study were 12 companies in accordance with the sampling criteria. The analysis method used is panel data regression analysis. The results of this study indicate that simultaneously Current Ratio (CR), Total Asset Turnover (TATO), Debt to Asset Ratio (DAR), Debt to Equity Ratio (DER) and Net Profit Margin (NPM) affect profit growth in industrial companies, food and beverages listed on the IDX for the 2010-2019 period. Partially, the Total Asset Turnover (TATO) and Debt to Equity Ratio (DER) variables have a positive and significant effect on profit growth in food and beverage industry companies listed on the IDX for the 2010-2019 period, while Current Ratio (CR), Debt to Asset Ratio (DAR) and Net Profit Margin (NPM) have a negative and significant effect on profit growth in food and beverage industry companies listed on the IDX for the 2010-2019 period.","author":[{"dropping-particle":"","family":"Aisyah","given":"Rini","non-dropping-particle":"","parse-names":false,"suffix":""},{"dropping-particle":"","family":"Widhiastuti","given":"Rosalia Nansih","non-dropping-particle":"","parse-names":false,"suffix":""}],"container-title":"Jurnal Akuntansi Keuangan Dan Perbankan","id":"ITEM-1","issue":"Juni 2021","issued":{"date-parts":[["2021"]]},"page":"1-9","title":"Pengaruh Rasio Keuangan Terhadap Pertumbuhan Laba Pada Perusahaan Industri Makanan dan Minuman yang Terdaftar di BEI Periode 2010-2019","type":"article-journal","volume":"2"},"uris":["http://www.mendeley.com/documents/?uuid=bd396ecb-75c4-47a9-af77-98534672d462","http://www.mendeley.com/documents/?uuid=4bb2d9ff-9e5e-4181-970a-00bd548623ac"]}],"mendeley":{"formattedCitation":"(Aisyah &amp; Widhiastuti, 2021)","manualFormatting":"Aisyah &amp; Widhiastuti, 2021)","plainTextFormattedCitation":"(Aisyah &amp; Widhiastuti, 2021)","previouslyFormattedCitation":"(Aisyah &amp; Widhiastuti, 2021)"},"properties":{"noteIndex":0},"schema":"https://github.com/citation-style-language/schema/raw/master/csl-citation.json"}</w:instrText>
      </w:r>
      <w:r w:rsidRPr="0071681A">
        <w:rPr>
          <w:sz w:val="22"/>
          <w:szCs w:val="22"/>
        </w:rPr>
        <w:fldChar w:fldCharType="separate"/>
      </w:r>
      <w:r w:rsidRPr="0071681A">
        <w:rPr>
          <w:noProof/>
          <w:sz w:val="22"/>
          <w:szCs w:val="22"/>
        </w:rPr>
        <w:t>Aisyah &amp; Widhiastuti, 2021)</w:t>
      </w:r>
      <w:r w:rsidRPr="0071681A">
        <w:rPr>
          <w:sz w:val="22"/>
          <w:szCs w:val="22"/>
        </w:rPr>
        <w:fldChar w:fldCharType="end"/>
      </w:r>
      <w:r w:rsidR="00FF618E">
        <w:rPr>
          <w:sz w:val="22"/>
          <w:szCs w:val="22"/>
        </w:rPr>
        <w:t xml:space="preserve">  </w:t>
      </w:r>
      <w:r w:rsidRPr="0071681A">
        <w:rPr>
          <w:sz w:val="22"/>
          <w:szCs w:val="22"/>
        </w:rPr>
        <w:t>. The formula for calculating profit growth is:</w:t>
      </w:r>
    </w:p>
    <w:p w14:paraId="72D66A82" w14:textId="77777777" w:rsidR="00F20C9C" w:rsidRPr="0071681A" w:rsidRDefault="00F20C9C" w:rsidP="0071681A">
      <w:pPr>
        <w:ind w:firstLine="567"/>
        <w:jc w:val="both"/>
        <w:rPr>
          <w:sz w:val="22"/>
          <w:szCs w:val="22"/>
        </w:rPr>
      </w:pPr>
    </w:p>
    <w:p w14:paraId="4FA0730A" w14:textId="77777777" w:rsidR="009E7581" w:rsidRPr="0071681A" w:rsidRDefault="009E7581" w:rsidP="00BA4BB8">
      <w:pPr>
        <w:jc w:val="center"/>
        <w:rPr>
          <w:rFonts w:eastAsiaTheme="minorEastAsia"/>
          <w:bCs/>
          <w:sz w:val="22"/>
          <w:szCs w:val="22"/>
        </w:rPr>
      </w:pPr>
      <w:r w:rsidRPr="0071681A">
        <w:rPr>
          <w:rFonts w:ascii="Cambria Math" w:hAnsi="Cambria Math" w:cs="Cambria Math"/>
          <w:bCs/>
          <w:sz w:val="22"/>
          <w:szCs w:val="22"/>
        </w:rPr>
        <w:t>Profit Growth</w:t>
      </w:r>
      <w:r w:rsidRPr="0071681A">
        <w:rPr>
          <w:bCs/>
          <w:sz w:val="22"/>
          <w:szCs w:val="22"/>
        </w:rPr>
        <w:t xml:space="preserve"> </w:t>
      </w:r>
      <w:r w:rsidRPr="0071681A">
        <w:rPr>
          <w:rFonts w:ascii="Cambria Math" w:hAnsi="Cambria Math" w:cs="Cambria Math"/>
          <w:bCs/>
          <w:sz w:val="22"/>
          <w:szCs w:val="22"/>
        </w:rPr>
        <w:t xml:space="preserve">=  </w:t>
      </w:r>
      <m:oMath>
        <m:f>
          <m:fPr>
            <m:ctrlPr>
              <w:rPr>
                <w:rFonts w:ascii="Cambria Math" w:hAnsi="Cambria Math"/>
                <w:bCs/>
                <w:sz w:val="22"/>
                <w:szCs w:val="22"/>
              </w:rPr>
            </m:ctrlPr>
          </m:fPr>
          <m:num>
            <m:r>
              <m:rPr>
                <m:sty m:val="p"/>
              </m:rPr>
              <w:rPr>
                <w:rFonts w:ascii="Cambria Math" w:hAnsi="Cambria Math"/>
                <w:sz w:val="22"/>
                <w:szCs w:val="22"/>
              </w:rPr>
              <m:t>Net Incomeₜ  - Net Incomeₜ₋₁</m:t>
            </m:r>
          </m:num>
          <m:den>
            <m:r>
              <m:rPr>
                <m:sty m:val="p"/>
              </m:rPr>
              <w:rPr>
                <w:rFonts w:ascii="Cambria Math" w:hAnsi="Cambria Math"/>
                <w:sz w:val="22"/>
                <w:szCs w:val="22"/>
              </w:rPr>
              <m:t xml:space="preserve">Net Incomeₜ₋₁   </m:t>
            </m:r>
          </m:den>
        </m:f>
      </m:oMath>
    </w:p>
    <w:p w14:paraId="0202A1B4" w14:textId="77777777" w:rsidR="00F20C9C" w:rsidRDefault="00F20C9C" w:rsidP="00F20C9C">
      <w:pPr>
        <w:rPr>
          <w:rFonts w:eastAsiaTheme="minorEastAsia"/>
          <w:b/>
          <w:sz w:val="22"/>
          <w:szCs w:val="22"/>
        </w:rPr>
      </w:pPr>
    </w:p>
    <w:p w14:paraId="596A2D49" w14:textId="114E403A" w:rsidR="009E7581" w:rsidRPr="0071681A" w:rsidRDefault="009E7581" w:rsidP="00F20C9C">
      <w:pPr>
        <w:rPr>
          <w:rFonts w:eastAsiaTheme="minorEastAsia"/>
          <w:b/>
          <w:sz w:val="22"/>
          <w:szCs w:val="22"/>
        </w:rPr>
      </w:pPr>
      <w:r w:rsidRPr="0071681A">
        <w:rPr>
          <w:rFonts w:eastAsiaTheme="minorEastAsia"/>
          <w:b/>
          <w:sz w:val="22"/>
          <w:szCs w:val="22"/>
        </w:rPr>
        <w:t>Sales Growth</w:t>
      </w:r>
    </w:p>
    <w:p w14:paraId="59581D83" w14:textId="71589FD9" w:rsidR="009E7581" w:rsidRDefault="009E7581" w:rsidP="0071681A">
      <w:pPr>
        <w:ind w:firstLine="567"/>
        <w:jc w:val="both"/>
        <w:rPr>
          <w:sz w:val="22"/>
          <w:szCs w:val="22"/>
        </w:rPr>
      </w:pPr>
      <w:r w:rsidRPr="0071681A">
        <w:rPr>
          <w:sz w:val="22"/>
          <w:szCs w:val="22"/>
        </w:rPr>
        <w:t xml:space="preserve">According to </w:t>
      </w:r>
      <w:r w:rsidRPr="0071681A">
        <w:rPr>
          <w:sz w:val="22"/>
          <w:szCs w:val="22"/>
        </w:rPr>
        <w:fldChar w:fldCharType="begin" w:fldLock="1"/>
      </w:r>
      <w:r w:rsidR="00D32A38">
        <w:rPr>
          <w:sz w:val="22"/>
          <w:szCs w:val="22"/>
        </w:rPr>
        <w:instrText>ADDIN CSL_CITATION {"citationItems":[{"id":"ITEM-1","itemData":{"ISSN":"1979-360X","abstract":"Objectives of the research are to examine and analyze the impact of the profitability, size dan liquidity to capital structure of the manufacturing firm listed in Indonesia Stock Exchamge. Samples are taken by using purposive sampling method and research has been done on 105 observations. The result show that profitability and size do not have significant impact on firm capital structure. On the other hand, liquidity has significant impact on capital structure. The next research is suggested to be done by different sectors of the firm and use more variable independent in a longer period of time to get a more comprehensive result. Keywords: capital structure, profitability, size, liquidity","author":[{"dropping-particle":"","family":"Kennedy","given":"","non-dropping-particle":"","parse-names":false,"suffix":""},{"dropping-particle":"","family":"Azlina","given":"Nur","non-dropping-particle":"","parse-names":false,"suffix":""},{"dropping-particle":"","family":"Suzana","given":"Anisa Ratna","non-dropping-particle":"","parse-names":false,"suffix":""}],"container-title":"Jurnal Akuntansi Bisnis","id":"ITEM-1","issue":"2","issued":{"date-parts":[["2017"]]},"title":"Faktor–Faktor Yang Mempengaruhi Struktur Modal Pada Perusahaan Real Estate And Property Yang Go Public Di Bursa Efek Indonesia","type":"article-journal","volume":"9"},"uris":["http://www.mendeley.com/documents/?uuid=4eca034a-5b64-4481-ba6c-e715587df60c","http://www.mendeley.com/documents/?uuid=fc98aec2-b1ff-4b7c-9ddc-fb76cdbb670c"]}],"mendeley":{"formattedCitation":"(Kennedy et al., 2017)","manualFormatting":"(Kennedy et al., 2017) ","plainTextFormattedCitation":"(Kennedy et al., 2017)","previouslyFormattedCitation":"(Kennedy et al., 2017)"},"properties":{"noteIndex":0},"schema":"https://github.com/citation-style-language/schema/raw/master/csl-citation.json"}</w:instrText>
      </w:r>
      <w:r w:rsidRPr="0071681A">
        <w:rPr>
          <w:sz w:val="22"/>
          <w:szCs w:val="22"/>
        </w:rPr>
        <w:fldChar w:fldCharType="separate"/>
      </w:r>
      <w:r w:rsidRPr="0071681A">
        <w:rPr>
          <w:noProof/>
          <w:sz w:val="22"/>
          <w:szCs w:val="22"/>
        </w:rPr>
        <w:t xml:space="preserve">(Kennedy et al., 2017) </w:t>
      </w:r>
      <w:r w:rsidRPr="0071681A">
        <w:rPr>
          <w:sz w:val="22"/>
          <w:szCs w:val="22"/>
        </w:rPr>
        <w:fldChar w:fldCharType="end"/>
      </w:r>
      <w:r w:rsidR="00F3219E" w:rsidRPr="00F3219E">
        <w:t xml:space="preserve"> </w:t>
      </w:r>
      <w:r w:rsidR="00F3219E" w:rsidRPr="00F3219E">
        <w:rPr>
          <w:sz w:val="22"/>
          <w:szCs w:val="22"/>
        </w:rPr>
        <w:t>An rise in sales from one period to the next, or from one instance to another, is referred to as sales growth</w:t>
      </w:r>
      <w:r w:rsidRPr="0071681A">
        <w:rPr>
          <w:sz w:val="22"/>
          <w:szCs w:val="22"/>
        </w:rPr>
        <w:t xml:space="preserve">. Sales </w:t>
      </w:r>
      <w:r w:rsidR="00FF618E">
        <w:rPr>
          <w:sz w:val="22"/>
          <w:szCs w:val="22"/>
        </w:rPr>
        <w:t>are</w:t>
      </w:r>
      <w:r w:rsidRPr="0071681A">
        <w:rPr>
          <w:sz w:val="22"/>
          <w:szCs w:val="22"/>
        </w:rPr>
        <w:t xml:space="preserve"> one indicator that can be used in predicting future growth because sales reflect the success of the investment. Companies whose sales have increased from year to year and effective sales management can increase profits. The formula for calculating sales growth is:</w:t>
      </w:r>
    </w:p>
    <w:p w14:paraId="2D3BF9C6" w14:textId="77777777" w:rsidR="00F20C9C" w:rsidRPr="0071681A" w:rsidRDefault="00F20C9C" w:rsidP="0071681A">
      <w:pPr>
        <w:ind w:firstLine="567"/>
        <w:jc w:val="both"/>
        <w:rPr>
          <w:sz w:val="22"/>
          <w:szCs w:val="22"/>
        </w:rPr>
      </w:pPr>
    </w:p>
    <w:p w14:paraId="24711C2F" w14:textId="77777777" w:rsidR="009E7581" w:rsidRPr="0071681A" w:rsidRDefault="009E7581" w:rsidP="00BA4BB8">
      <w:pPr>
        <w:jc w:val="center"/>
        <w:rPr>
          <w:bCs/>
          <w:sz w:val="22"/>
          <w:szCs w:val="22"/>
        </w:rPr>
      </w:pPr>
      <w:r w:rsidRPr="0071681A">
        <w:rPr>
          <w:rFonts w:ascii="Cambria Math" w:hAnsi="Cambria Math"/>
          <w:bCs/>
          <w:sz w:val="22"/>
          <w:szCs w:val="22"/>
        </w:rPr>
        <w:t>Sales Growth</w:t>
      </w:r>
      <w:r w:rsidRPr="0071681A">
        <w:rPr>
          <w:bCs/>
          <w:sz w:val="22"/>
          <w:szCs w:val="22"/>
        </w:rPr>
        <w:t xml:space="preserve"> =</w:t>
      </w:r>
      <m:oMath>
        <m:f>
          <m:fPr>
            <m:ctrlPr>
              <w:rPr>
                <w:rFonts w:ascii="Cambria Math" w:hAnsi="Cambria Math"/>
                <w:bCs/>
                <w:iCs/>
                <w:sz w:val="22"/>
                <w:szCs w:val="22"/>
              </w:rPr>
            </m:ctrlPr>
          </m:fPr>
          <m:num>
            <m:r>
              <m:rPr>
                <m:sty m:val="p"/>
              </m:rPr>
              <w:rPr>
                <w:rFonts w:ascii="Cambria Math" w:hAnsi="Cambria Math"/>
                <w:sz w:val="22"/>
                <w:szCs w:val="22"/>
              </w:rPr>
              <m:t>Sales ₜ-Sales ₜ₋₁</m:t>
            </m:r>
          </m:num>
          <m:den>
            <m:r>
              <m:rPr>
                <m:sty m:val="p"/>
              </m:rPr>
              <w:rPr>
                <w:rFonts w:ascii="Cambria Math" w:hAnsi="Cambria Math"/>
                <w:sz w:val="22"/>
                <w:szCs w:val="22"/>
              </w:rPr>
              <m:t>Sales ₜ₋₁</m:t>
            </m:r>
          </m:den>
        </m:f>
      </m:oMath>
      <w:r w:rsidRPr="0071681A">
        <w:rPr>
          <w:bCs/>
          <w:iCs/>
          <w:sz w:val="22"/>
          <w:szCs w:val="22"/>
        </w:rPr>
        <w:t xml:space="preserve"> x </w:t>
      </w:r>
      <w:r w:rsidRPr="0071681A">
        <w:rPr>
          <w:bCs/>
          <w:sz w:val="22"/>
          <w:szCs w:val="22"/>
        </w:rPr>
        <w:t>100%</w:t>
      </w:r>
    </w:p>
    <w:p w14:paraId="5BDE8262" w14:textId="77777777" w:rsidR="00F20C9C" w:rsidRDefault="00F20C9C" w:rsidP="0071681A">
      <w:pPr>
        <w:ind w:firstLine="567"/>
        <w:rPr>
          <w:b/>
          <w:sz w:val="22"/>
          <w:szCs w:val="22"/>
        </w:rPr>
      </w:pPr>
    </w:p>
    <w:p w14:paraId="2252F8A3" w14:textId="70E9FEBD" w:rsidR="009E7581" w:rsidRPr="0071681A" w:rsidRDefault="009E7581" w:rsidP="00F20C9C">
      <w:pPr>
        <w:rPr>
          <w:b/>
          <w:sz w:val="22"/>
          <w:szCs w:val="22"/>
        </w:rPr>
      </w:pPr>
      <w:r w:rsidRPr="0071681A">
        <w:rPr>
          <w:b/>
          <w:sz w:val="22"/>
          <w:szCs w:val="22"/>
        </w:rPr>
        <w:t>Profitability</w:t>
      </w:r>
    </w:p>
    <w:p w14:paraId="64195C94" w14:textId="64CCE751" w:rsidR="009E7581" w:rsidRPr="0071681A" w:rsidRDefault="009E7581" w:rsidP="0071681A">
      <w:pPr>
        <w:ind w:firstLine="567"/>
        <w:jc w:val="both"/>
        <w:rPr>
          <w:sz w:val="22"/>
          <w:szCs w:val="22"/>
        </w:rPr>
      </w:pPr>
      <w:r w:rsidRPr="0071681A">
        <w:rPr>
          <w:sz w:val="22"/>
          <w:szCs w:val="22"/>
        </w:rPr>
        <w:t xml:space="preserve">According to </w:t>
      </w:r>
      <w:r w:rsidRPr="0071681A">
        <w:rPr>
          <w:sz w:val="22"/>
          <w:szCs w:val="22"/>
        </w:rPr>
        <w:fldChar w:fldCharType="begin" w:fldLock="1"/>
      </w:r>
      <w:r w:rsidR="00D32A38">
        <w:rPr>
          <w:sz w:val="22"/>
          <w:szCs w:val="22"/>
        </w:rPr>
        <w:instrText>ADDIN CSL_CITATION {"citationItems":[{"id":"ITEM-1","itemData":{"author":[{"dropping-particle":"","family":"Kasmir","given":"","non-dropping-particle":"","parse-names":false,"suffix":""}],"id":"ITEM-1","issued":{"date-parts":[["2018"]]},"number-of-pages":"159","publisher":"PT Raja Grafindo Persada","publisher-place":"Depok","title":"Analisis Laporan Keuangan","type":"book"},"uris":["http://www.mendeley.com/documents/?uuid=9f6f1388-30e9-4de6-b1ed-5d4a0be582f2"]}],"mendeley":{"formattedCitation":"(Kasmir, 2018)","manualFormatting":"(Kasmir, 2018) ","plainTextFormattedCitation":"(Kasmir, 2018)","previouslyFormattedCitation":"(Kasmir, 2018)"},"properties":{"noteIndex":0},"schema":"https://github.com/citation-style-language/schema/raw/master/csl-citation.json"}</w:instrText>
      </w:r>
      <w:r w:rsidRPr="0071681A">
        <w:rPr>
          <w:sz w:val="22"/>
          <w:szCs w:val="22"/>
        </w:rPr>
        <w:fldChar w:fldCharType="separate"/>
      </w:r>
      <w:r w:rsidRPr="0071681A">
        <w:rPr>
          <w:noProof/>
          <w:sz w:val="22"/>
          <w:szCs w:val="22"/>
        </w:rPr>
        <w:t xml:space="preserve">(Kasmir, 2018) </w:t>
      </w:r>
      <w:r w:rsidRPr="0071681A">
        <w:rPr>
          <w:sz w:val="22"/>
          <w:szCs w:val="22"/>
        </w:rPr>
        <w:fldChar w:fldCharType="end"/>
      </w:r>
      <w:r w:rsidR="00F3219E" w:rsidRPr="00F3219E">
        <w:t xml:space="preserve"> </w:t>
      </w:r>
      <w:r w:rsidR="00F3219E" w:rsidRPr="00F3219E">
        <w:rPr>
          <w:sz w:val="22"/>
          <w:szCs w:val="22"/>
        </w:rPr>
        <w:t xml:space="preserve">The profitability ratio is a measurement of a business's capacity to maximize its profits. A company's profitability can be measured by examining the ratio of its sales, assets, and capital over a specified time period. </w:t>
      </w:r>
      <w:r w:rsidRPr="0071681A">
        <w:rPr>
          <w:sz w:val="22"/>
          <w:szCs w:val="22"/>
        </w:rPr>
        <w:fldChar w:fldCharType="begin" w:fldLock="1"/>
      </w:r>
      <w:r w:rsidR="00D32A38">
        <w:rPr>
          <w:sz w:val="22"/>
          <w:szCs w:val="22"/>
        </w:rPr>
        <w:instrText>ADDIN CSL_CITATION {"citationItems":[{"id":"ITEM-1","itemData":{"author":[{"dropping-particle":"","family":"Hanafi","given":"M.M.","non-dropping-particle":"","parse-names":false,"suffix":""},{"dropping-particle":"","family":"Halim","given":"A.","non-dropping-particle":"","parse-names":false,"suffix":""}],"chapter-number":"Kedua","edition":"Edisi ke 4","id":"ITEM-1","issued":{"date-parts":[["2012"]]},"publisher":"Sekolah Tinggi Ilmu Manajemen YKPN. Yogyakarta.","title":"Analisis Laporan Keuangan","type":"chapter"},"uris":["http://www.mendeley.com/documents/?uuid=adf74bd8-4111-4416-ac33-bab38f2f4065","http://www.mendeley.com/documents/?uuid=9408e2cb-d613-4d25-81aa-e8ee37254af4"]}],"mendeley":{"formattedCitation":"(Hanafi &amp; Halim, 2012)","plainTextFormattedCitation":"(Hanafi &amp; Halim, 2012)","previouslyFormattedCitation":"(Hanafi &amp; Halim, 2012)"},"properties":{"noteIndex":0},"schema":"https://github.com/citation-style-language/schema/raw/master/csl-citation.json"}</w:instrText>
      </w:r>
      <w:r w:rsidRPr="0071681A">
        <w:rPr>
          <w:sz w:val="22"/>
          <w:szCs w:val="22"/>
        </w:rPr>
        <w:fldChar w:fldCharType="separate"/>
      </w:r>
      <w:r w:rsidRPr="0071681A">
        <w:rPr>
          <w:noProof/>
          <w:sz w:val="22"/>
          <w:szCs w:val="22"/>
        </w:rPr>
        <w:t>(Hanafi &amp; Halim, 2012)</w:t>
      </w:r>
      <w:r w:rsidRPr="0071681A">
        <w:rPr>
          <w:sz w:val="22"/>
          <w:szCs w:val="22"/>
        </w:rPr>
        <w:fldChar w:fldCharType="end"/>
      </w:r>
      <w:r w:rsidRPr="0071681A">
        <w:rPr>
          <w:sz w:val="22"/>
          <w:szCs w:val="22"/>
        </w:rPr>
        <w:t xml:space="preserve">. </w:t>
      </w:r>
      <w:r w:rsidR="00F3219E" w:rsidRPr="00F3219E">
        <w:rPr>
          <w:sz w:val="22"/>
          <w:szCs w:val="22"/>
        </w:rPr>
        <w:lastRenderedPageBreak/>
        <w:t>Investors are primarily concerned with profitability because it is a strong indicator of a company's capacity to remain in operation</w:t>
      </w:r>
      <w:r w:rsidRPr="0071681A">
        <w:rPr>
          <w:sz w:val="22"/>
          <w:szCs w:val="22"/>
        </w:rPr>
        <w:t>.</w:t>
      </w:r>
      <w:r w:rsidR="00D32A38">
        <w:rPr>
          <w:sz w:val="22"/>
          <w:szCs w:val="22"/>
        </w:rPr>
        <w:t xml:space="preserve"> </w:t>
      </w:r>
      <w:r w:rsidR="00D32A38" w:rsidRPr="00D32A38">
        <w:rPr>
          <w:sz w:val="22"/>
          <w:szCs w:val="22"/>
        </w:rPr>
        <w:t>The profitability ratio measures a company's capacity to generate profits. It also measures the effectiveness of the company's management</w:t>
      </w:r>
      <w:r w:rsidR="00D32A38">
        <w:rPr>
          <w:sz w:val="22"/>
          <w:szCs w:val="22"/>
        </w:rPr>
        <w:t xml:space="preserve"> </w:t>
      </w:r>
      <w:r w:rsidR="00D32A38">
        <w:rPr>
          <w:sz w:val="22"/>
          <w:szCs w:val="22"/>
        </w:rPr>
        <w:fldChar w:fldCharType="begin" w:fldLock="1"/>
      </w:r>
      <w:r w:rsidR="00D32A38">
        <w:rPr>
          <w:sz w:val="22"/>
          <w:szCs w:val="22"/>
        </w:rPr>
        <w:instrText>ADDIN CSL_CITATION {"citationItems":[{"id":"ITEM-1","itemData":{"DOI":"https://doi.org/10.25134/equi.v20i01.6759","abstract":"Bank menghasilkan uang melalui pinjaman. Penelitian ini menguji pengaruh kredit bermasalah terhadap bank BUMN di Bursa Efek Indonesia dari tahun 2011-2020. Penelitian ini menganalisis kinerja bank BUMN dari tahun 2011-2020 menggunakan data sekunder dari Bursa Efek Indonesia. Analisis meliputi regresi data panel, uji asumsi klasik, koefisien determinasi dan uji hipotesis. Uji F menunujukkan bahwa kredit macet mempengaruhi pendapatan. Kredit bermasalah berdampak negatif terhadap profitabilitas bank BUMN yang terdaftar di Bursa Efek Indonesia, sedangkan secara parsial penyaluran kredit tidak berpengaruh.","author":[{"dropping-particle":"","family":"Maulana","given":"Yasir","non-dropping-particle":"","parse-names":false,"suffix":""},{"dropping-particle":"","family":"Harjadi","given":"Dikdik","non-dropping-particle":"","parse-names":false,"suffix":""},{"dropping-particle":"","family":"Lismawati","given":"Lisa","non-dropping-particle":"","parse-names":false,"suffix":""}],"id":"ITEM-1","issue":"01","issued":{"date-parts":[["2023"]]},"page":"55-61","title":"Pengaruh kredit bermasalah dan penyaluran kredit terhadap profitabilitas bank bumn terdaftar BEI","type":"article-journal","volume":"20"},"uris":["http://www.mendeley.com/documents/?uuid=17ada860-b016-4ea1-9ff6-eec5ed60fcc7"]}],"mendeley":{"formattedCitation":"(Maulana et al., 2023)","plainTextFormattedCitation":"(Maulana et al., 2023)"},"properties":{"noteIndex":0},"schema":"https://github.com/citation-style-language/schema/raw/master/csl-citation.json"}</w:instrText>
      </w:r>
      <w:r w:rsidR="00D32A38">
        <w:rPr>
          <w:sz w:val="22"/>
          <w:szCs w:val="22"/>
        </w:rPr>
        <w:fldChar w:fldCharType="separate"/>
      </w:r>
      <w:r w:rsidR="00D32A38" w:rsidRPr="00D32A38">
        <w:rPr>
          <w:noProof/>
          <w:sz w:val="22"/>
          <w:szCs w:val="22"/>
        </w:rPr>
        <w:t>(Maulana et al., 2023)</w:t>
      </w:r>
      <w:r w:rsidR="00D32A38">
        <w:rPr>
          <w:sz w:val="22"/>
          <w:szCs w:val="22"/>
        </w:rPr>
        <w:fldChar w:fldCharType="end"/>
      </w:r>
      <w:r w:rsidR="00D32A38">
        <w:rPr>
          <w:sz w:val="22"/>
          <w:szCs w:val="22"/>
        </w:rPr>
        <w:t>.</w:t>
      </w:r>
    </w:p>
    <w:p w14:paraId="3C019207" w14:textId="54CE91C9" w:rsidR="009E7581" w:rsidRDefault="009E7581" w:rsidP="0071681A">
      <w:pPr>
        <w:ind w:firstLine="567"/>
        <w:jc w:val="both"/>
        <w:rPr>
          <w:sz w:val="22"/>
          <w:szCs w:val="22"/>
        </w:rPr>
      </w:pPr>
      <w:r w:rsidRPr="0071681A">
        <w:rPr>
          <w:rFonts w:eastAsiaTheme="minorEastAsia"/>
          <w:sz w:val="22"/>
          <w:szCs w:val="22"/>
        </w:rPr>
        <w:t xml:space="preserve">Profitability ratio used is Return On Equity (ROE). According to </w:t>
      </w:r>
      <w:r w:rsidRPr="0071681A">
        <w:rPr>
          <w:sz w:val="22"/>
          <w:szCs w:val="22"/>
        </w:rPr>
        <w:fldChar w:fldCharType="begin" w:fldLock="1"/>
      </w:r>
      <w:r w:rsidR="00D32A38">
        <w:rPr>
          <w:sz w:val="22"/>
          <w:szCs w:val="22"/>
        </w:rPr>
        <w:instrText>ADDIN CSL_CITATION {"citationItems":[{"id":"ITEM-1","itemData":{"author":[{"dropping-particle":"","family":"Kasmir","given":"","non-dropping-particle":"","parse-names":false,"suffix":""}],"id":"ITEM-1","issued":{"date-parts":[["2018"]]},"number-of-pages":"159","publisher":"PT Raja Grafindo Persada","publisher-place":"Depok","title":"Analisis Laporan Keuangan","type":"book"},"uris":["http://www.mendeley.com/documents/?uuid=9f6f1388-30e9-4de6-b1ed-5d4a0be582f2"]}],"mendeley":{"formattedCitation":"(Kasmir, 2018)","plainTextFormattedCitation":"(Kasmir, 2018)","previouslyFormattedCitation":"(Kasmir, 2018)"},"properties":{"noteIndex":0},"schema":"https://github.com/citation-style-language/schema/raw/master/csl-citation.json"}</w:instrText>
      </w:r>
      <w:r w:rsidRPr="0071681A">
        <w:rPr>
          <w:sz w:val="22"/>
          <w:szCs w:val="22"/>
        </w:rPr>
        <w:fldChar w:fldCharType="separate"/>
      </w:r>
      <w:r w:rsidRPr="0071681A">
        <w:rPr>
          <w:noProof/>
          <w:sz w:val="22"/>
          <w:szCs w:val="22"/>
        </w:rPr>
        <w:t>(Kasmir, 2018)</w:t>
      </w:r>
      <w:r w:rsidRPr="0071681A">
        <w:rPr>
          <w:sz w:val="22"/>
          <w:szCs w:val="22"/>
        </w:rPr>
        <w:fldChar w:fldCharType="end"/>
      </w:r>
      <w:r w:rsidRPr="0071681A">
        <w:rPr>
          <w:sz w:val="22"/>
          <w:szCs w:val="22"/>
        </w:rPr>
        <w:t xml:space="preserve"> </w:t>
      </w:r>
      <w:r w:rsidR="00F3219E" w:rsidRPr="00F3219E">
        <w:rPr>
          <w:rFonts w:eastAsiaTheme="minorEastAsia"/>
          <w:sz w:val="22"/>
          <w:szCs w:val="22"/>
        </w:rPr>
        <w:t>After-tax profit generated from one's own capital is expressed as a ratio known as Return On Equity. Return on equity is a metric for evaluating a company's capacity to create profits from its own resources. Return On Equity can be determined by the following formula</w:t>
      </w:r>
      <w:r w:rsidRPr="0071681A">
        <w:rPr>
          <w:sz w:val="22"/>
          <w:szCs w:val="22"/>
        </w:rPr>
        <w:t>:</w:t>
      </w:r>
    </w:p>
    <w:p w14:paraId="50AF57CD" w14:textId="77777777" w:rsidR="00F20C9C" w:rsidRPr="0071681A" w:rsidRDefault="00F20C9C" w:rsidP="0071681A">
      <w:pPr>
        <w:ind w:firstLine="567"/>
        <w:jc w:val="both"/>
        <w:rPr>
          <w:sz w:val="22"/>
          <w:szCs w:val="22"/>
        </w:rPr>
      </w:pPr>
    </w:p>
    <w:p w14:paraId="234BDE7A" w14:textId="77777777" w:rsidR="009E7581" w:rsidRPr="0071681A" w:rsidRDefault="009E7581" w:rsidP="00BA4BB8">
      <w:pPr>
        <w:pStyle w:val="ListParagraph"/>
        <w:ind w:left="0"/>
        <w:jc w:val="center"/>
        <w:rPr>
          <w:rFonts w:eastAsiaTheme="minorEastAsia"/>
          <w:bCs/>
          <w:iCs/>
          <w:sz w:val="22"/>
          <w:szCs w:val="22"/>
        </w:rPr>
      </w:pPr>
      <w:r w:rsidRPr="0071681A">
        <w:rPr>
          <w:rFonts w:ascii="Cambria Math" w:hAnsi="Cambria Math"/>
          <w:bCs/>
          <w:iCs/>
          <w:sz w:val="22"/>
          <w:szCs w:val="22"/>
        </w:rPr>
        <w:t>Return On Equity</w:t>
      </w:r>
      <w:r w:rsidRPr="0071681A">
        <w:rPr>
          <w:bCs/>
          <w:iCs/>
          <w:sz w:val="22"/>
          <w:szCs w:val="22"/>
        </w:rPr>
        <w:t xml:space="preserve"> </w:t>
      </w:r>
      <w:r w:rsidRPr="0071681A">
        <w:rPr>
          <w:rFonts w:eastAsiaTheme="minorEastAsia"/>
          <w:bCs/>
          <w:iCs/>
          <w:sz w:val="22"/>
          <w:szCs w:val="22"/>
        </w:rPr>
        <w:t>=</w:t>
      </w:r>
      <m:oMath>
        <m:f>
          <m:fPr>
            <m:ctrlPr>
              <w:rPr>
                <w:rFonts w:ascii="Cambria Math" w:hAnsi="Cambria Math"/>
                <w:bCs/>
                <w:iCs/>
                <w:sz w:val="22"/>
                <w:szCs w:val="22"/>
              </w:rPr>
            </m:ctrlPr>
          </m:fPr>
          <m:num>
            <m:r>
              <m:rPr>
                <m:sty m:val="p"/>
              </m:rPr>
              <w:rPr>
                <w:rFonts w:ascii="Cambria Math" w:hAnsi="Cambria Math"/>
                <w:sz w:val="22"/>
                <w:szCs w:val="22"/>
              </w:rPr>
              <m:t xml:space="preserve">Earning After Tax  </m:t>
            </m:r>
          </m:num>
          <m:den>
            <m:r>
              <m:rPr>
                <m:sty m:val="p"/>
              </m:rPr>
              <w:rPr>
                <w:rFonts w:ascii="Cambria Math" w:hAnsi="Cambria Math"/>
                <w:sz w:val="22"/>
                <w:szCs w:val="22"/>
              </w:rPr>
              <m:t xml:space="preserve">Total Equity </m:t>
            </m:r>
          </m:den>
        </m:f>
      </m:oMath>
    </w:p>
    <w:p w14:paraId="2A89F857" w14:textId="77777777" w:rsidR="00F20C9C" w:rsidRDefault="00F20C9C" w:rsidP="00F20C9C">
      <w:pPr>
        <w:rPr>
          <w:rFonts w:eastAsiaTheme="minorEastAsia"/>
          <w:b/>
          <w:sz w:val="22"/>
          <w:szCs w:val="22"/>
        </w:rPr>
      </w:pPr>
    </w:p>
    <w:p w14:paraId="30A2B02F" w14:textId="3CB5EE76" w:rsidR="009E7581" w:rsidRPr="0071681A" w:rsidRDefault="009E7581" w:rsidP="00F20C9C">
      <w:pPr>
        <w:rPr>
          <w:rFonts w:eastAsiaTheme="minorEastAsia"/>
          <w:b/>
          <w:sz w:val="22"/>
          <w:szCs w:val="22"/>
        </w:rPr>
      </w:pPr>
      <w:r w:rsidRPr="0071681A">
        <w:rPr>
          <w:rFonts w:eastAsiaTheme="minorEastAsia"/>
          <w:b/>
          <w:sz w:val="22"/>
          <w:szCs w:val="22"/>
        </w:rPr>
        <w:t>Liquidity</w:t>
      </w:r>
    </w:p>
    <w:p w14:paraId="6C4DC7F3" w14:textId="31368419" w:rsidR="009E7581" w:rsidRPr="0071681A" w:rsidRDefault="009E7581" w:rsidP="0071681A">
      <w:pPr>
        <w:ind w:firstLine="567"/>
        <w:jc w:val="both"/>
        <w:rPr>
          <w:sz w:val="22"/>
          <w:szCs w:val="22"/>
        </w:rPr>
      </w:pPr>
      <w:r w:rsidRPr="0071681A">
        <w:rPr>
          <w:rFonts w:eastAsiaTheme="minorEastAsia"/>
          <w:sz w:val="22"/>
          <w:szCs w:val="22"/>
        </w:rPr>
        <w:t xml:space="preserve">According to </w:t>
      </w:r>
      <w:r w:rsidRPr="0071681A">
        <w:rPr>
          <w:sz w:val="22"/>
          <w:szCs w:val="22"/>
        </w:rPr>
        <w:fldChar w:fldCharType="begin" w:fldLock="1"/>
      </w:r>
      <w:r w:rsidR="00D32A38">
        <w:rPr>
          <w:sz w:val="22"/>
          <w:szCs w:val="22"/>
        </w:rPr>
        <w:instrText>ADDIN CSL_CITATION {"citationItems":[{"id":"ITEM-1","itemData":{"author":[{"dropping-particle":"","family":"Kasmir","given":"","non-dropping-particle":"","parse-names":false,"suffix":""}],"id":"ITEM-1","issued":{"date-parts":[["2018"]]},"number-of-pages":"159","publisher":"PT Raja Grafindo Persada","publisher-place":"Depok","title":"Analisis Laporan Keuangan","type":"book"},"uris":["http://www.mendeley.com/documents/?uuid=9f6f1388-30e9-4de6-b1ed-5d4a0be582f2"]}],"mendeley":{"formattedCitation":"(Kasmir, 2018)","manualFormatting":"(Kasmir, 2018) ","plainTextFormattedCitation":"(Kasmir, 2018)","previouslyFormattedCitation":"(Kasmir, 2018)"},"properties":{"noteIndex":0},"schema":"https://github.com/citation-style-language/schema/raw/master/csl-citation.json"}</w:instrText>
      </w:r>
      <w:r w:rsidRPr="0071681A">
        <w:rPr>
          <w:sz w:val="22"/>
          <w:szCs w:val="22"/>
        </w:rPr>
        <w:fldChar w:fldCharType="separate"/>
      </w:r>
      <w:r w:rsidRPr="0071681A">
        <w:rPr>
          <w:noProof/>
          <w:sz w:val="22"/>
          <w:szCs w:val="22"/>
        </w:rPr>
        <w:t xml:space="preserve">(Kasmir, 2018) </w:t>
      </w:r>
      <w:r w:rsidRPr="0071681A">
        <w:rPr>
          <w:sz w:val="22"/>
          <w:szCs w:val="22"/>
        </w:rPr>
        <w:fldChar w:fldCharType="end"/>
      </w:r>
      <w:r w:rsidR="00F3219E" w:rsidRPr="00F3219E">
        <w:t xml:space="preserve"> </w:t>
      </w:r>
      <w:r w:rsidR="00F3219E" w:rsidRPr="00F3219E">
        <w:rPr>
          <w:sz w:val="22"/>
          <w:szCs w:val="22"/>
        </w:rPr>
        <w:t>The ratio of a company's liquid assets to its current liabilities is known as its liquidity and is used to assess its financial health. For businesses to be able to pay their bills when they come due, they need to be able to satisfy their short- and long-term commitments, and the liquidity ratio demonstrates this</w:t>
      </w:r>
      <w:r w:rsidRPr="0071681A">
        <w:rPr>
          <w:sz w:val="22"/>
          <w:szCs w:val="22"/>
        </w:rPr>
        <w:t>.</w:t>
      </w:r>
    </w:p>
    <w:p w14:paraId="7EFC9D0D" w14:textId="67D2E9FA" w:rsidR="009E7581" w:rsidRDefault="009E7581" w:rsidP="0071681A">
      <w:pPr>
        <w:ind w:firstLine="567"/>
        <w:jc w:val="both"/>
        <w:rPr>
          <w:sz w:val="22"/>
          <w:szCs w:val="22"/>
        </w:rPr>
      </w:pPr>
      <w:r w:rsidRPr="0071681A">
        <w:rPr>
          <w:sz w:val="22"/>
          <w:szCs w:val="22"/>
        </w:rPr>
        <w:t xml:space="preserve">The Liquidity Ratio used is the Cash Ratio . According to </w:t>
      </w:r>
      <w:r w:rsidRPr="0071681A">
        <w:rPr>
          <w:sz w:val="22"/>
          <w:szCs w:val="22"/>
        </w:rPr>
        <w:fldChar w:fldCharType="begin" w:fldLock="1"/>
      </w:r>
      <w:r w:rsidR="00D32A38">
        <w:rPr>
          <w:sz w:val="22"/>
          <w:szCs w:val="22"/>
        </w:rPr>
        <w:instrText>ADDIN CSL_CITATION {"citationItems":[{"id":"ITEM-1","itemData":{"author":[{"dropping-particle":"","family":"Kasmir","given":"","non-dropping-particle":"","parse-names":false,"suffix":""}],"id":"ITEM-1","issued":{"date-parts":[["2018"]]},"number-of-pages":"159","publisher":"PT Raja Grafindo Persada","publisher-place":"Depok","title":"Analisis Laporan Keuangan","type":"book"},"uris":["http://www.mendeley.com/documents/?uuid=9f6f1388-30e9-4de6-b1ed-5d4a0be582f2"]}],"mendeley":{"formattedCitation":"(Kasmir, 2018)","plainTextFormattedCitation":"(Kasmir, 2018)","previouslyFormattedCitation":"(Kasmir, 2018)"},"properties":{"noteIndex":0},"schema":"https://github.com/citation-style-language/schema/raw/master/csl-citation.json"}</w:instrText>
      </w:r>
      <w:r w:rsidRPr="0071681A">
        <w:rPr>
          <w:sz w:val="22"/>
          <w:szCs w:val="22"/>
        </w:rPr>
        <w:fldChar w:fldCharType="separate"/>
      </w:r>
      <w:r w:rsidRPr="0071681A">
        <w:rPr>
          <w:noProof/>
          <w:sz w:val="22"/>
          <w:szCs w:val="22"/>
        </w:rPr>
        <w:t>(Kasmir, 2018)</w:t>
      </w:r>
      <w:r w:rsidRPr="0071681A">
        <w:rPr>
          <w:sz w:val="22"/>
          <w:szCs w:val="22"/>
        </w:rPr>
        <w:fldChar w:fldCharType="end"/>
      </w:r>
      <w:r w:rsidRPr="0071681A">
        <w:rPr>
          <w:sz w:val="22"/>
          <w:szCs w:val="22"/>
        </w:rPr>
        <w:t xml:space="preserve"> </w:t>
      </w:r>
      <w:r w:rsidR="00F3219E" w:rsidRPr="00F3219E">
        <w:rPr>
          <w:sz w:val="22"/>
          <w:szCs w:val="22"/>
        </w:rPr>
        <w:t>For businesses, the ratio of cash on hand to total debt is an important indicator of financial health. The quick ratio measures a company's liquidity by how easily it can pay off its short-term debt. The Cash Ratio is Determined By</w:t>
      </w:r>
      <w:r w:rsidRPr="0071681A">
        <w:rPr>
          <w:sz w:val="22"/>
          <w:szCs w:val="22"/>
        </w:rPr>
        <w:t>:</w:t>
      </w:r>
    </w:p>
    <w:p w14:paraId="11E30149" w14:textId="77777777" w:rsidR="00F20C9C" w:rsidRPr="0071681A" w:rsidRDefault="00F20C9C" w:rsidP="0071681A">
      <w:pPr>
        <w:ind w:firstLine="567"/>
        <w:jc w:val="both"/>
        <w:rPr>
          <w:sz w:val="22"/>
          <w:szCs w:val="22"/>
        </w:rPr>
      </w:pPr>
    </w:p>
    <w:p w14:paraId="3C21EB97" w14:textId="77777777" w:rsidR="009E7581" w:rsidRPr="0071681A" w:rsidRDefault="009E7581" w:rsidP="00BA4BB8">
      <w:pPr>
        <w:jc w:val="center"/>
        <w:rPr>
          <w:bCs/>
          <w:iCs/>
          <w:sz w:val="22"/>
          <w:szCs w:val="22"/>
        </w:rPr>
      </w:pPr>
      <w:r w:rsidRPr="0071681A">
        <w:rPr>
          <w:rFonts w:ascii="Cambria Math" w:eastAsiaTheme="minorEastAsia" w:hAnsi="Cambria Math"/>
          <w:bCs/>
          <w:iCs/>
          <w:sz w:val="22"/>
          <w:szCs w:val="22"/>
        </w:rPr>
        <w:t>Cash Ratio</w:t>
      </w:r>
      <w:r w:rsidRPr="0071681A">
        <w:rPr>
          <w:rFonts w:eastAsiaTheme="minorEastAsia"/>
          <w:bCs/>
          <w:iCs/>
          <w:sz w:val="22"/>
          <w:szCs w:val="22"/>
        </w:rPr>
        <w:t xml:space="preserve"> =</w:t>
      </w:r>
      <m:oMath>
        <m:f>
          <m:fPr>
            <m:ctrlPr>
              <w:rPr>
                <w:rFonts w:ascii="Cambria Math" w:hAnsi="Cambria Math"/>
                <w:bCs/>
                <w:iCs/>
                <w:sz w:val="22"/>
                <w:szCs w:val="22"/>
              </w:rPr>
            </m:ctrlPr>
          </m:fPr>
          <m:num>
            <m:r>
              <m:rPr>
                <m:sty m:val="p"/>
              </m:rPr>
              <w:rPr>
                <w:rFonts w:ascii="Cambria Math" w:hAnsi="Cambria Math"/>
                <w:sz w:val="22"/>
                <w:szCs w:val="22"/>
              </w:rPr>
              <m:t>Cash+Cash Equivalent</m:t>
            </m:r>
          </m:num>
          <m:den>
            <m:r>
              <m:rPr>
                <m:sty m:val="p"/>
              </m:rPr>
              <w:rPr>
                <w:rFonts w:ascii="Cambria Math" w:hAnsi="Cambria Math"/>
                <w:sz w:val="22"/>
                <w:szCs w:val="22"/>
              </w:rPr>
              <m:t xml:space="preserve">Total Current Liabilities  </m:t>
            </m:r>
          </m:den>
        </m:f>
      </m:oMath>
    </w:p>
    <w:p w14:paraId="24652ACB" w14:textId="77777777" w:rsidR="00F20C9C" w:rsidRDefault="00F20C9C" w:rsidP="00F20C9C">
      <w:pPr>
        <w:rPr>
          <w:b/>
          <w:iCs/>
          <w:sz w:val="22"/>
          <w:szCs w:val="22"/>
        </w:rPr>
      </w:pPr>
    </w:p>
    <w:p w14:paraId="7C57E109" w14:textId="203B7787" w:rsidR="009E7581" w:rsidRPr="0071681A" w:rsidRDefault="009E7581" w:rsidP="00F20C9C">
      <w:pPr>
        <w:rPr>
          <w:b/>
          <w:iCs/>
          <w:sz w:val="22"/>
          <w:szCs w:val="22"/>
        </w:rPr>
      </w:pPr>
      <w:r w:rsidRPr="0071681A">
        <w:rPr>
          <w:b/>
          <w:iCs/>
          <w:sz w:val="22"/>
          <w:szCs w:val="22"/>
        </w:rPr>
        <w:t>Leverage</w:t>
      </w:r>
    </w:p>
    <w:p w14:paraId="74248FA5" w14:textId="388EA512" w:rsidR="00F3219E" w:rsidRPr="00F3219E" w:rsidRDefault="009E7581" w:rsidP="00F3219E">
      <w:pPr>
        <w:ind w:firstLine="567"/>
        <w:jc w:val="both"/>
        <w:rPr>
          <w:sz w:val="22"/>
          <w:szCs w:val="22"/>
        </w:rPr>
      </w:pPr>
      <w:r w:rsidRPr="0071681A">
        <w:rPr>
          <w:sz w:val="22"/>
          <w:szCs w:val="22"/>
        </w:rPr>
        <w:t xml:space="preserve">According to </w:t>
      </w:r>
      <w:r w:rsidRPr="0071681A">
        <w:rPr>
          <w:sz w:val="22"/>
          <w:szCs w:val="22"/>
        </w:rPr>
        <w:fldChar w:fldCharType="begin" w:fldLock="1"/>
      </w:r>
      <w:r w:rsidR="00D32A38">
        <w:rPr>
          <w:sz w:val="22"/>
          <w:szCs w:val="22"/>
        </w:rPr>
        <w:instrText>ADDIN CSL_CITATION {"citationItems":[{"id":"ITEM-1","itemData":{"author":[{"dropping-particle":"","family":"Kasmir","given":"","non-dropping-particle":"","parse-names":false,"suffix":""}],"id":"ITEM-1","issued":{"date-parts":[["2018"]]},"number-of-pages":"159","publisher":"PT Raja Grafindo Persada","publisher-place":"Depok","title":"Analisis Laporan Keuangan","type":"book"},"uris":["http://www.mendeley.com/documents/?uuid=9f6f1388-30e9-4de6-b1ed-5d4a0be582f2"]}],"mendeley":{"formattedCitation":"(Kasmir, 2018)","manualFormatting":"(Kasmir, 2018) ","plainTextFormattedCitation":"(Kasmir, 2018)","previouslyFormattedCitation":"(Kasmir, 2018)"},"properties":{"noteIndex":0},"schema":"https://github.com/citation-style-language/schema/raw/master/csl-citation.json"}</w:instrText>
      </w:r>
      <w:r w:rsidRPr="0071681A">
        <w:rPr>
          <w:sz w:val="22"/>
          <w:szCs w:val="22"/>
        </w:rPr>
        <w:fldChar w:fldCharType="separate"/>
      </w:r>
      <w:r w:rsidRPr="0071681A">
        <w:rPr>
          <w:noProof/>
          <w:sz w:val="22"/>
          <w:szCs w:val="22"/>
        </w:rPr>
        <w:t xml:space="preserve">(Kasmir, 2018) </w:t>
      </w:r>
      <w:r w:rsidRPr="0071681A">
        <w:rPr>
          <w:sz w:val="22"/>
          <w:szCs w:val="22"/>
        </w:rPr>
        <w:fldChar w:fldCharType="end"/>
      </w:r>
      <w:r w:rsidR="00F3219E" w:rsidRPr="00F3219E">
        <w:t xml:space="preserve"> </w:t>
      </w:r>
      <w:r w:rsidR="00F3219E" w:rsidRPr="00F3219E">
        <w:rPr>
          <w:sz w:val="22"/>
          <w:szCs w:val="22"/>
        </w:rPr>
        <w:t>The level of debt needed to finance a company's assets is expressed as its "leverage ratio." What this metric indicates is the extent to which the company's debts exceed its assets.</w:t>
      </w:r>
    </w:p>
    <w:p w14:paraId="6F496CEA" w14:textId="185C7F01" w:rsidR="009E7581" w:rsidRDefault="00F3219E" w:rsidP="00F3219E">
      <w:pPr>
        <w:ind w:firstLine="567"/>
        <w:jc w:val="both"/>
        <w:rPr>
          <w:sz w:val="22"/>
          <w:szCs w:val="22"/>
        </w:rPr>
      </w:pPr>
      <w:r w:rsidRPr="00F3219E">
        <w:rPr>
          <w:sz w:val="22"/>
          <w:szCs w:val="22"/>
        </w:rPr>
        <w:t>The Debt to Asset Ratio (DAR) is employed as a stand-in for leverage. An asset to debt ratio, as defined by Kasmir (2018), measures how much debt an organization has in relation to its overall assets. Debt-to-Asset Ratio (DAR) is a financial ratio used to evaluate the impact of debt on asset management. The Debt to Asset Ratio is determined using the following formula</w:t>
      </w:r>
      <w:r w:rsidR="009E7581" w:rsidRPr="0071681A">
        <w:rPr>
          <w:sz w:val="22"/>
          <w:szCs w:val="22"/>
        </w:rPr>
        <w:t>:</w:t>
      </w:r>
    </w:p>
    <w:p w14:paraId="7ED15F70" w14:textId="77777777" w:rsidR="00F20C9C" w:rsidRPr="0071681A" w:rsidRDefault="00F20C9C" w:rsidP="0071681A">
      <w:pPr>
        <w:ind w:firstLine="567"/>
        <w:jc w:val="both"/>
        <w:rPr>
          <w:sz w:val="22"/>
          <w:szCs w:val="22"/>
        </w:rPr>
      </w:pPr>
    </w:p>
    <w:p w14:paraId="6EE43FF2" w14:textId="77777777" w:rsidR="009E7581" w:rsidRPr="0071681A" w:rsidRDefault="009E7581" w:rsidP="00BA4BB8">
      <w:pPr>
        <w:pStyle w:val="ListParagraph"/>
        <w:ind w:left="0"/>
        <w:jc w:val="center"/>
        <w:rPr>
          <w:rFonts w:eastAsiaTheme="minorEastAsia"/>
          <w:bCs/>
          <w:iCs/>
          <w:sz w:val="22"/>
          <w:szCs w:val="22"/>
        </w:rPr>
      </w:pPr>
      <w:r w:rsidRPr="0071681A">
        <w:rPr>
          <w:rFonts w:ascii="Cambria Math" w:hAnsi="Cambria Math"/>
          <w:bCs/>
          <w:iCs/>
          <w:sz w:val="22"/>
          <w:szCs w:val="22"/>
        </w:rPr>
        <w:t>Debt to Asset Ratio</w:t>
      </w:r>
      <w:r w:rsidRPr="0071681A">
        <w:rPr>
          <w:bCs/>
          <w:iCs/>
          <w:sz w:val="22"/>
          <w:szCs w:val="22"/>
        </w:rPr>
        <w:t xml:space="preserve"> =</w:t>
      </w:r>
      <m:oMath>
        <m:f>
          <m:fPr>
            <m:ctrlPr>
              <w:rPr>
                <w:rFonts w:ascii="Cambria Math" w:hAnsi="Cambria Math"/>
                <w:bCs/>
                <w:iCs/>
                <w:sz w:val="22"/>
                <w:szCs w:val="22"/>
              </w:rPr>
            </m:ctrlPr>
          </m:fPr>
          <m:num>
            <m:r>
              <m:rPr>
                <m:sty m:val="p"/>
              </m:rPr>
              <w:rPr>
                <w:rFonts w:ascii="Cambria Math" w:hAnsi="Cambria Math"/>
                <w:sz w:val="22"/>
                <w:szCs w:val="22"/>
              </w:rPr>
              <m:t xml:space="preserve">Total Debt </m:t>
            </m:r>
          </m:num>
          <m:den>
            <m:r>
              <m:rPr>
                <m:sty m:val="p"/>
              </m:rPr>
              <w:rPr>
                <w:rFonts w:ascii="Cambria Math" w:hAnsi="Cambria Math"/>
                <w:sz w:val="22"/>
                <w:szCs w:val="22"/>
              </w:rPr>
              <m:t xml:space="preserve">Total Asset </m:t>
            </m:r>
          </m:den>
        </m:f>
      </m:oMath>
    </w:p>
    <w:p w14:paraId="45761954" w14:textId="77777777" w:rsidR="009E7581" w:rsidRPr="0071681A" w:rsidRDefault="009E7581" w:rsidP="009E7581">
      <w:pPr>
        <w:jc w:val="both"/>
        <w:rPr>
          <w:b/>
          <w:sz w:val="22"/>
          <w:szCs w:val="22"/>
        </w:rPr>
      </w:pPr>
    </w:p>
    <w:p w14:paraId="5EB69371" w14:textId="1F952F58" w:rsidR="009E7581" w:rsidRDefault="00F20C9C" w:rsidP="009E7581">
      <w:pPr>
        <w:jc w:val="both"/>
        <w:rPr>
          <w:b/>
          <w:sz w:val="22"/>
          <w:szCs w:val="22"/>
        </w:rPr>
      </w:pPr>
      <w:r w:rsidRPr="0071681A">
        <w:rPr>
          <w:b/>
          <w:sz w:val="22"/>
          <w:szCs w:val="22"/>
        </w:rPr>
        <w:t>2.1</w:t>
      </w:r>
      <w:r>
        <w:rPr>
          <w:b/>
          <w:sz w:val="22"/>
          <w:szCs w:val="22"/>
        </w:rPr>
        <w:t xml:space="preserve"> </w:t>
      </w:r>
      <w:r w:rsidR="009E7581" w:rsidRPr="0071681A">
        <w:rPr>
          <w:b/>
          <w:sz w:val="22"/>
          <w:szCs w:val="22"/>
        </w:rPr>
        <w:t>Research Framework</w:t>
      </w:r>
    </w:p>
    <w:p w14:paraId="394617A4" w14:textId="77777777" w:rsidR="0063606C" w:rsidRPr="0071681A" w:rsidRDefault="0063606C" w:rsidP="009E7581">
      <w:pPr>
        <w:jc w:val="both"/>
        <w:rPr>
          <w:b/>
          <w:sz w:val="22"/>
          <w:szCs w:val="22"/>
        </w:rPr>
      </w:pPr>
    </w:p>
    <w:p w14:paraId="1D432D6B" w14:textId="77777777" w:rsidR="009E7581" w:rsidRPr="0071681A" w:rsidRDefault="009E7581" w:rsidP="009E7581">
      <w:pPr>
        <w:jc w:val="both"/>
        <w:rPr>
          <w:b/>
          <w:sz w:val="22"/>
          <w:szCs w:val="22"/>
        </w:rPr>
      </w:pPr>
      <w:r w:rsidRPr="0071681A">
        <w:rPr>
          <w:noProof/>
          <w:sz w:val="22"/>
          <w:szCs w:val="22"/>
        </w:rPr>
        <w:drawing>
          <wp:inline distT="0" distB="0" distL="0" distR="0" wp14:anchorId="27F09923" wp14:editId="56641632">
            <wp:extent cx="2950499" cy="1192036"/>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8129" cy="1191078"/>
                    </a:xfrm>
                    <a:prstGeom prst="rect">
                      <a:avLst/>
                    </a:prstGeom>
                  </pic:spPr>
                </pic:pic>
              </a:graphicData>
            </a:graphic>
          </wp:inline>
        </w:drawing>
      </w:r>
    </w:p>
    <w:p w14:paraId="21FCF45D" w14:textId="77777777" w:rsidR="009E7581" w:rsidRPr="0071681A" w:rsidRDefault="009E7581" w:rsidP="009E7581">
      <w:pPr>
        <w:jc w:val="center"/>
        <w:rPr>
          <w:b/>
          <w:sz w:val="22"/>
          <w:szCs w:val="22"/>
        </w:rPr>
      </w:pPr>
      <w:r w:rsidRPr="0071681A">
        <w:rPr>
          <w:b/>
          <w:sz w:val="22"/>
          <w:szCs w:val="22"/>
        </w:rPr>
        <w:t>Figure 1. Research Framework</w:t>
      </w:r>
    </w:p>
    <w:p w14:paraId="003760AA" w14:textId="3FAD6924" w:rsidR="009E7581" w:rsidRDefault="009E7581" w:rsidP="009E7581">
      <w:pPr>
        <w:jc w:val="center"/>
        <w:rPr>
          <w:b/>
          <w:sz w:val="22"/>
          <w:szCs w:val="22"/>
        </w:rPr>
      </w:pPr>
    </w:p>
    <w:p w14:paraId="7AA76A35" w14:textId="77777777" w:rsidR="00BA4BB8" w:rsidRPr="0071681A" w:rsidRDefault="00BA4BB8" w:rsidP="009E7581">
      <w:pPr>
        <w:jc w:val="center"/>
        <w:rPr>
          <w:b/>
          <w:sz w:val="22"/>
          <w:szCs w:val="22"/>
        </w:rPr>
      </w:pPr>
    </w:p>
    <w:p w14:paraId="67841B2B" w14:textId="1CE36C37" w:rsidR="009E7581" w:rsidRPr="0071681A" w:rsidRDefault="00F20C9C" w:rsidP="009E7581">
      <w:pPr>
        <w:jc w:val="both"/>
        <w:rPr>
          <w:b/>
          <w:sz w:val="22"/>
          <w:szCs w:val="22"/>
        </w:rPr>
      </w:pPr>
      <w:r w:rsidRPr="0071681A">
        <w:rPr>
          <w:b/>
          <w:sz w:val="22"/>
          <w:szCs w:val="22"/>
        </w:rPr>
        <w:t>2.1</w:t>
      </w:r>
      <w:r>
        <w:rPr>
          <w:b/>
          <w:sz w:val="22"/>
          <w:szCs w:val="22"/>
        </w:rPr>
        <w:t xml:space="preserve"> </w:t>
      </w:r>
      <w:r w:rsidR="009E7581" w:rsidRPr="0071681A">
        <w:rPr>
          <w:b/>
          <w:sz w:val="22"/>
          <w:szCs w:val="22"/>
        </w:rPr>
        <w:t>Hypothesis</w:t>
      </w:r>
    </w:p>
    <w:p w14:paraId="5213306A" w14:textId="494CE990" w:rsidR="009E7581" w:rsidRPr="0071681A" w:rsidRDefault="00F3219E" w:rsidP="00F20C9C">
      <w:pPr>
        <w:ind w:firstLine="567"/>
        <w:jc w:val="both"/>
        <w:rPr>
          <w:sz w:val="22"/>
          <w:szCs w:val="22"/>
        </w:rPr>
      </w:pPr>
      <w:r w:rsidRPr="00F3219E">
        <w:rPr>
          <w:sz w:val="22"/>
          <w:szCs w:val="22"/>
        </w:rPr>
        <w:t>The following is a research hypothesis based on the research framework</w:t>
      </w:r>
      <w:r w:rsidR="009E7581" w:rsidRPr="0071681A">
        <w:rPr>
          <w:sz w:val="22"/>
          <w:szCs w:val="22"/>
        </w:rPr>
        <w:t>:</w:t>
      </w:r>
    </w:p>
    <w:p w14:paraId="45353B08" w14:textId="77777777" w:rsidR="009E7581" w:rsidRPr="0071681A" w:rsidRDefault="009E7581" w:rsidP="009E7581">
      <w:pPr>
        <w:pStyle w:val="ListParagraph"/>
        <w:numPr>
          <w:ilvl w:val="0"/>
          <w:numId w:val="12"/>
        </w:numPr>
        <w:jc w:val="both"/>
        <w:rPr>
          <w:sz w:val="22"/>
          <w:szCs w:val="22"/>
        </w:rPr>
      </w:pPr>
      <w:r w:rsidRPr="0071681A">
        <w:rPr>
          <w:sz w:val="22"/>
          <w:szCs w:val="22"/>
        </w:rPr>
        <w:t xml:space="preserve">Sales Growth, Profitability, Liquidity and </w:t>
      </w:r>
      <w:r w:rsidRPr="0071681A">
        <w:rPr>
          <w:iCs/>
          <w:sz w:val="22"/>
          <w:szCs w:val="22"/>
        </w:rPr>
        <w:t>Leverage</w:t>
      </w:r>
      <w:r w:rsidRPr="0071681A">
        <w:rPr>
          <w:i/>
          <w:sz w:val="22"/>
          <w:szCs w:val="22"/>
        </w:rPr>
        <w:t xml:space="preserve"> </w:t>
      </w:r>
      <w:r w:rsidRPr="0071681A">
        <w:rPr>
          <w:sz w:val="22"/>
          <w:szCs w:val="22"/>
        </w:rPr>
        <w:t>together affect profit growth.</w:t>
      </w:r>
    </w:p>
    <w:p w14:paraId="26268AA8" w14:textId="77777777" w:rsidR="009E7581" w:rsidRPr="0071681A" w:rsidRDefault="009E7581" w:rsidP="009E7581">
      <w:pPr>
        <w:pStyle w:val="ListParagraph"/>
        <w:numPr>
          <w:ilvl w:val="0"/>
          <w:numId w:val="12"/>
        </w:numPr>
        <w:jc w:val="both"/>
        <w:rPr>
          <w:sz w:val="22"/>
          <w:szCs w:val="22"/>
        </w:rPr>
      </w:pPr>
      <w:r w:rsidRPr="0071681A">
        <w:rPr>
          <w:sz w:val="22"/>
          <w:szCs w:val="22"/>
        </w:rPr>
        <w:t>Sales growth has a positive effect on profit growth.</w:t>
      </w:r>
    </w:p>
    <w:p w14:paraId="2FA22653" w14:textId="77777777" w:rsidR="009E7581" w:rsidRPr="0071681A" w:rsidRDefault="009E7581" w:rsidP="009E7581">
      <w:pPr>
        <w:pStyle w:val="ListParagraph"/>
        <w:numPr>
          <w:ilvl w:val="0"/>
          <w:numId w:val="12"/>
        </w:numPr>
        <w:jc w:val="both"/>
        <w:rPr>
          <w:sz w:val="22"/>
          <w:szCs w:val="22"/>
        </w:rPr>
      </w:pPr>
      <w:r w:rsidRPr="0071681A">
        <w:rPr>
          <w:sz w:val="22"/>
          <w:szCs w:val="22"/>
        </w:rPr>
        <w:t>Profitability has a positive effect on profit growth.</w:t>
      </w:r>
    </w:p>
    <w:p w14:paraId="7AA50914" w14:textId="77777777" w:rsidR="009E7581" w:rsidRPr="0071681A" w:rsidRDefault="009E7581" w:rsidP="009E7581">
      <w:pPr>
        <w:pStyle w:val="ListParagraph"/>
        <w:numPr>
          <w:ilvl w:val="0"/>
          <w:numId w:val="12"/>
        </w:numPr>
        <w:jc w:val="both"/>
        <w:rPr>
          <w:sz w:val="22"/>
          <w:szCs w:val="22"/>
        </w:rPr>
      </w:pPr>
      <w:r w:rsidRPr="0071681A">
        <w:rPr>
          <w:sz w:val="22"/>
          <w:szCs w:val="22"/>
        </w:rPr>
        <w:t>Liquidity has a negative effect on profit growth.</w:t>
      </w:r>
    </w:p>
    <w:p w14:paraId="285A36AF" w14:textId="77777777" w:rsidR="009E7581" w:rsidRPr="0071681A" w:rsidRDefault="009E7581" w:rsidP="009E7581">
      <w:pPr>
        <w:pStyle w:val="ListParagraph"/>
        <w:numPr>
          <w:ilvl w:val="0"/>
          <w:numId w:val="12"/>
        </w:numPr>
        <w:jc w:val="both"/>
        <w:rPr>
          <w:sz w:val="22"/>
          <w:szCs w:val="22"/>
        </w:rPr>
      </w:pPr>
      <w:r w:rsidRPr="0071681A">
        <w:rPr>
          <w:iCs/>
          <w:sz w:val="22"/>
          <w:szCs w:val="22"/>
        </w:rPr>
        <w:t>Leverage</w:t>
      </w:r>
      <w:r w:rsidRPr="0071681A">
        <w:rPr>
          <w:i/>
          <w:sz w:val="22"/>
          <w:szCs w:val="22"/>
        </w:rPr>
        <w:t xml:space="preserve"> </w:t>
      </w:r>
      <w:r w:rsidRPr="0071681A">
        <w:rPr>
          <w:sz w:val="22"/>
          <w:szCs w:val="22"/>
        </w:rPr>
        <w:t>has a negative effect on profit growth.</w:t>
      </w:r>
    </w:p>
    <w:p w14:paraId="1E6251CA" w14:textId="03A2752F" w:rsidR="009E7581" w:rsidRDefault="009E7581" w:rsidP="009E7581">
      <w:pPr>
        <w:pStyle w:val="ListParagraph"/>
        <w:ind w:left="360"/>
        <w:jc w:val="both"/>
        <w:rPr>
          <w:sz w:val="22"/>
          <w:szCs w:val="22"/>
        </w:rPr>
      </w:pPr>
    </w:p>
    <w:p w14:paraId="0A763E5B" w14:textId="77777777" w:rsidR="00BA4BB8" w:rsidRPr="0071681A" w:rsidRDefault="00BA4BB8" w:rsidP="009E7581">
      <w:pPr>
        <w:pStyle w:val="ListParagraph"/>
        <w:ind w:left="360"/>
        <w:jc w:val="both"/>
        <w:rPr>
          <w:sz w:val="22"/>
          <w:szCs w:val="22"/>
        </w:rPr>
      </w:pPr>
    </w:p>
    <w:p w14:paraId="3CE86EC7" w14:textId="1270F62E" w:rsidR="009E7581" w:rsidRPr="0071681A" w:rsidRDefault="009E7581" w:rsidP="009E7581">
      <w:pPr>
        <w:pStyle w:val="Heading1"/>
        <w:numPr>
          <w:ilvl w:val="0"/>
          <w:numId w:val="6"/>
        </w:numPr>
        <w:suppressAutoHyphens/>
        <w:spacing w:after="60"/>
        <w:ind w:left="360"/>
        <w:rPr>
          <w:i w:val="0"/>
          <w:sz w:val="22"/>
          <w:szCs w:val="22"/>
        </w:rPr>
      </w:pPr>
      <w:r w:rsidRPr="0071681A">
        <w:rPr>
          <w:i w:val="0"/>
          <w:sz w:val="22"/>
          <w:szCs w:val="22"/>
        </w:rPr>
        <w:t>RESEACRH METHODS</w:t>
      </w:r>
    </w:p>
    <w:p w14:paraId="7B1E14C1" w14:textId="08AF41FE" w:rsidR="009E7581" w:rsidRPr="0071681A" w:rsidRDefault="009A351F" w:rsidP="009E7581">
      <w:pPr>
        <w:jc w:val="both"/>
        <w:rPr>
          <w:b/>
          <w:sz w:val="22"/>
          <w:szCs w:val="22"/>
        </w:rPr>
      </w:pPr>
      <w:r>
        <w:rPr>
          <w:b/>
          <w:sz w:val="22"/>
          <w:szCs w:val="22"/>
        </w:rPr>
        <w:t xml:space="preserve">3.1 </w:t>
      </w:r>
      <w:r w:rsidR="009E7581" w:rsidRPr="0071681A">
        <w:rPr>
          <w:b/>
          <w:sz w:val="22"/>
          <w:szCs w:val="22"/>
        </w:rPr>
        <w:t>Research methods</w:t>
      </w:r>
    </w:p>
    <w:p w14:paraId="4C0F2407" w14:textId="14A1E50E" w:rsidR="009E7581" w:rsidRPr="0071681A" w:rsidRDefault="00F3219E" w:rsidP="009A351F">
      <w:pPr>
        <w:ind w:firstLine="567"/>
        <w:jc w:val="both"/>
        <w:rPr>
          <w:sz w:val="22"/>
          <w:szCs w:val="22"/>
        </w:rPr>
      </w:pPr>
      <w:r w:rsidRPr="00F3219E">
        <w:rPr>
          <w:sz w:val="22"/>
          <w:szCs w:val="22"/>
        </w:rPr>
        <w:t>This study will employ a combination of descriptive and verification research techniques. In research, the descriptive approach is used to identify the existence of one or more independent variables and their associated values, but without drawing any connections between them. Evidence-based research methods like the verification technique use statistical testing to determine whether or not a working hypothesis can be accepted or rejected</w:t>
      </w:r>
      <w:r w:rsidR="009E7581" w:rsidRPr="0071681A">
        <w:rPr>
          <w:sz w:val="22"/>
          <w:szCs w:val="22"/>
        </w:rPr>
        <w:t>.</w:t>
      </w:r>
    </w:p>
    <w:p w14:paraId="5D1359FB" w14:textId="77777777" w:rsidR="009A351F" w:rsidRDefault="009A351F" w:rsidP="009E7581">
      <w:pPr>
        <w:jc w:val="both"/>
        <w:rPr>
          <w:b/>
          <w:sz w:val="22"/>
          <w:szCs w:val="22"/>
        </w:rPr>
      </w:pPr>
    </w:p>
    <w:p w14:paraId="7BE5FA61" w14:textId="04697753" w:rsidR="009E7581" w:rsidRPr="0071681A" w:rsidRDefault="009A351F" w:rsidP="009E7581">
      <w:pPr>
        <w:jc w:val="both"/>
        <w:rPr>
          <w:b/>
          <w:sz w:val="22"/>
          <w:szCs w:val="22"/>
        </w:rPr>
      </w:pPr>
      <w:r>
        <w:rPr>
          <w:b/>
          <w:sz w:val="22"/>
          <w:szCs w:val="22"/>
        </w:rPr>
        <w:t xml:space="preserve">3.2 </w:t>
      </w:r>
      <w:r w:rsidR="009E7581" w:rsidRPr="0071681A">
        <w:rPr>
          <w:b/>
          <w:sz w:val="22"/>
          <w:szCs w:val="22"/>
        </w:rPr>
        <w:t>Population and Sample</w:t>
      </w:r>
    </w:p>
    <w:p w14:paraId="40C35346" w14:textId="0EEE6B10" w:rsidR="009E7581" w:rsidRPr="0071681A" w:rsidRDefault="00F3219E" w:rsidP="009A351F">
      <w:pPr>
        <w:ind w:firstLine="567"/>
        <w:jc w:val="both"/>
        <w:rPr>
          <w:sz w:val="22"/>
          <w:szCs w:val="22"/>
        </w:rPr>
      </w:pPr>
      <w:r w:rsidRPr="00F3219E">
        <w:rPr>
          <w:sz w:val="22"/>
          <w:szCs w:val="22"/>
        </w:rPr>
        <w:t xml:space="preserve">Twenty-six companies in the food and beverage sub-sector that were traded on the Indonesia Stock Exchange between 2011 and 2019 make up the population for this analysis. Purposive sampling was employed for this study. Eleven firms producing food and drink and traded </w:t>
      </w:r>
      <w:r w:rsidRPr="00F3219E">
        <w:rPr>
          <w:sz w:val="22"/>
          <w:szCs w:val="22"/>
        </w:rPr>
        <w:lastRenderedPageBreak/>
        <w:t>on the Indonesia Stock Exchange between 2011 and 2019 were used as a sample for this study</w:t>
      </w:r>
      <w:r w:rsidR="009E7581" w:rsidRPr="0071681A">
        <w:rPr>
          <w:sz w:val="22"/>
          <w:szCs w:val="22"/>
        </w:rPr>
        <w:t>.</w:t>
      </w:r>
    </w:p>
    <w:p w14:paraId="40F81110" w14:textId="77777777" w:rsidR="009A351F" w:rsidRDefault="009A351F" w:rsidP="009E7581">
      <w:pPr>
        <w:jc w:val="both"/>
        <w:rPr>
          <w:b/>
          <w:sz w:val="22"/>
          <w:szCs w:val="22"/>
        </w:rPr>
      </w:pPr>
    </w:p>
    <w:p w14:paraId="205E7DF9" w14:textId="4A6FE02E" w:rsidR="009E7581" w:rsidRPr="0071681A" w:rsidRDefault="009A351F" w:rsidP="009E7581">
      <w:pPr>
        <w:jc w:val="both"/>
        <w:rPr>
          <w:b/>
          <w:sz w:val="22"/>
          <w:szCs w:val="22"/>
        </w:rPr>
      </w:pPr>
      <w:r>
        <w:rPr>
          <w:b/>
          <w:sz w:val="22"/>
          <w:szCs w:val="22"/>
        </w:rPr>
        <w:t xml:space="preserve">3.3 </w:t>
      </w:r>
      <w:r w:rsidR="009E7581" w:rsidRPr="0071681A">
        <w:rPr>
          <w:b/>
          <w:sz w:val="22"/>
          <w:szCs w:val="22"/>
        </w:rPr>
        <w:t xml:space="preserve">Data </w:t>
      </w:r>
    </w:p>
    <w:p w14:paraId="64136F41" w14:textId="63C4CF24" w:rsidR="009E7581" w:rsidRPr="0071681A" w:rsidRDefault="002C6C1A" w:rsidP="009A351F">
      <w:pPr>
        <w:ind w:firstLine="567"/>
        <w:jc w:val="both"/>
        <w:outlineLvl w:val="2"/>
        <w:rPr>
          <w:sz w:val="22"/>
          <w:szCs w:val="22"/>
        </w:rPr>
      </w:pPr>
      <w:r w:rsidRPr="002C6C1A">
        <w:rPr>
          <w:sz w:val="22"/>
          <w:szCs w:val="22"/>
        </w:rPr>
        <w:t>Quantitative secondary sources are employed for this analysis. The financial statements of food and beverage companies traded on the Indonesia Stock Exchange provide the secondary data for this analysis, which covers the years 2011 to 2019. Data collected is documented by an audit trail. Financial statements from food and drink companies between 2011 and 2019 are the source of the data</w:t>
      </w:r>
      <w:r w:rsidR="009E7581" w:rsidRPr="0071681A">
        <w:rPr>
          <w:sz w:val="22"/>
          <w:szCs w:val="22"/>
        </w:rPr>
        <w:t>.</w:t>
      </w:r>
    </w:p>
    <w:p w14:paraId="09E32E44" w14:textId="77777777" w:rsidR="009A351F" w:rsidRDefault="009A351F" w:rsidP="009E7581">
      <w:pPr>
        <w:jc w:val="both"/>
        <w:outlineLvl w:val="2"/>
        <w:rPr>
          <w:b/>
          <w:sz w:val="22"/>
          <w:szCs w:val="22"/>
        </w:rPr>
      </w:pPr>
    </w:p>
    <w:p w14:paraId="589FFA7C" w14:textId="4D8D5815" w:rsidR="009E7581" w:rsidRPr="0071681A" w:rsidRDefault="009A351F" w:rsidP="009E7581">
      <w:pPr>
        <w:jc w:val="both"/>
        <w:outlineLvl w:val="2"/>
        <w:rPr>
          <w:b/>
          <w:sz w:val="22"/>
          <w:szCs w:val="22"/>
        </w:rPr>
      </w:pPr>
      <w:r>
        <w:rPr>
          <w:b/>
          <w:sz w:val="22"/>
          <w:szCs w:val="22"/>
        </w:rPr>
        <w:t xml:space="preserve">3.4 </w:t>
      </w:r>
      <w:r w:rsidR="009E7581" w:rsidRPr="0071681A">
        <w:rPr>
          <w:b/>
          <w:sz w:val="22"/>
          <w:szCs w:val="22"/>
        </w:rPr>
        <w:t>Data Analysis Techniques</w:t>
      </w:r>
    </w:p>
    <w:p w14:paraId="0C595A24" w14:textId="7675C059" w:rsidR="009E7581" w:rsidRPr="0071681A" w:rsidRDefault="002C6C1A" w:rsidP="009A351F">
      <w:pPr>
        <w:ind w:firstLine="567"/>
        <w:jc w:val="both"/>
        <w:outlineLvl w:val="2"/>
        <w:rPr>
          <w:sz w:val="22"/>
          <w:szCs w:val="22"/>
        </w:rPr>
      </w:pPr>
      <w:r w:rsidRPr="002C6C1A">
        <w:rPr>
          <w:sz w:val="22"/>
          <w:szCs w:val="22"/>
        </w:rPr>
        <w:t>Descriptive analysis and verification analysis were used to analyze the data in this study. Mean, median, mode, standard deviation, and graphs are all components of descriptive analysis. Classical assumption testing, panel data regression, coefficient of determination, and hypothesis testing via the f test (simultaneous test) and the t test are all part of the verification study (partial test)</w:t>
      </w:r>
      <w:r w:rsidR="009E7581" w:rsidRPr="0071681A">
        <w:rPr>
          <w:sz w:val="22"/>
          <w:szCs w:val="22"/>
        </w:rPr>
        <w:t>.</w:t>
      </w:r>
    </w:p>
    <w:p w14:paraId="5AE3CA8D" w14:textId="7542D7F6" w:rsidR="009E7581" w:rsidRDefault="009E7581" w:rsidP="009E7581">
      <w:pPr>
        <w:jc w:val="both"/>
        <w:rPr>
          <w:b/>
          <w:sz w:val="22"/>
          <w:szCs w:val="22"/>
        </w:rPr>
      </w:pPr>
    </w:p>
    <w:p w14:paraId="2063ED55" w14:textId="77777777" w:rsidR="00BA4BB8" w:rsidRPr="0071681A" w:rsidRDefault="00BA4BB8" w:rsidP="009E7581">
      <w:pPr>
        <w:jc w:val="both"/>
        <w:rPr>
          <w:b/>
          <w:sz w:val="22"/>
          <w:szCs w:val="22"/>
        </w:rPr>
      </w:pPr>
    </w:p>
    <w:p w14:paraId="001C06F2" w14:textId="60F008B8" w:rsidR="00D73172" w:rsidRPr="0071681A" w:rsidRDefault="009E7581" w:rsidP="004B7814">
      <w:pPr>
        <w:pStyle w:val="Heading1"/>
        <w:numPr>
          <w:ilvl w:val="0"/>
          <w:numId w:val="6"/>
        </w:numPr>
        <w:suppressAutoHyphens/>
        <w:spacing w:after="60"/>
        <w:ind w:left="360"/>
        <w:rPr>
          <w:i w:val="0"/>
          <w:sz w:val="22"/>
          <w:szCs w:val="22"/>
        </w:rPr>
      </w:pPr>
      <w:r w:rsidRPr="0071681A">
        <w:rPr>
          <w:i w:val="0"/>
          <w:sz w:val="22"/>
          <w:szCs w:val="22"/>
        </w:rPr>
        <w:t>RESULT AND DISCUSSION</w:t>
      </w:r>
    </w:p>
    <w:p w14:paraId="69BCF09B" w14:textId="14CAE126" w:rsidR="009E7581" w:rsidRPr="0071681A" w:rsidRDefault="009A351F" w:rsidP="009E7581">
      <w:pPr>
        <w:jc w:val="both"/>
        <w:rPr>
          <w:b/>
          <w:sz w:val="22"/>
          <w:szCs w:val="22"/>
        </w:rPr>
      </w:pPr>
      <w:r>
        <w:rPr>
          <w:b/>
          <w:sz w:val="22"/>
          <w:szCs w:val="22"/>
        </w:rPr>
        <w:t xml:space="preserve">4.1 </w:t>
      </w:r>
      <w:r w:rsidR="009E7581" w:rsidRPr="0071681A">
        <w:rPr>
          <w:b/>
          <w:sz w:val="22"/>
          <w:szCs w:val="22"/>
        </w:rPr>
        <w:t>Descriptive Analysis</w:t>
      </w:r>
    </w:p>
    <w:p w14:paraId="10675AC7" w14:textId="77777777" w:rsidR="009E7581" w:rsidRPr="0071681A" w:rsidRDefault="009E7581" w:rsidP="009E7581">
      <w:pPr>
        <w:jc w:val="center"/>
        <w:rPr>
          <w:rFonts w:eastAsia="Calibri"/>
          <w:b/>
          <w:sz w:val="22"/>
          <w:szCs w:val="22"/>
        </w:rPr>
      </w:pPr>
      <w:r w:rsidRPr="0071681A">
        <w:rPr>
          <w:rFonts w:eastAsia="Calibri"/>
          <w:b/>
          <w:sz w:val="22"/>
          <w:szCs w:val="22"/>
        </w:rPr>
        <w:t>Table 2. Descriptive Analysis Results</w:t>
      </w:r>
    </w:p>
    <w:p w14:paraId="0ECD8F90" w14:textId="33275112" w:rsidR="009E7581" w:rsidRPr="0071681A" w:rsidRDefault="0024794E" w:rsidP="009A351F">
      <w:pPr>
        <w:rPr>
          <w:sz w:val="22"/>
          <w:szCs w:val="22"/>
        </w:rPr>
      </w:pPr>
      <w:r w:rsidRPr="0024794E">
        <w:rPr>
          <w:noProof/>
        </w:rPr>
        <w:drawing>
          <wp:inline distT="0" distB="0" distL="0" distR="0" wp14:anchorId="5D5C06D5" wp14:editId="19B86521">
            <wp:extent cx="2972321"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11" r="5077" b="8393"/>
                    <a:stretch/>
                  </pic:blipFill>
                  <pic:spPr bwMode="auto">
                    <a:xfrm>
                      <a:off x="0" y="0"/>
                      <a:ext cx="2993437" cy="738635"/>
                    </a:xfrm>
                    <a:prstGeom prst="rect">
                      <a:avLst/>
                    </a:prstGeom>
                    <a:noFill/>
                    <a:ln>
                      <a:noFill/>
                    </a:ln>
                    <a:extLst>
                      <a:ext uri="{53640926-AAD7-44D8-BBD7-CCE9431645EC}">
                        <a14:shadowObscured xmlns:a14="http://schemas.microsoft.com/office/drawing/2010/main"/>
                      </a:ext>
                    </a:extLst>
                  </pic:spPr>
                </pic:pic>
              </a:graphicData>
            </a:graphic>
          </wp:inline>
        </w:drawing>
      </w:r>
      <w:r w:rsidR="009E7581" w:rsidRPr="008E4734">
        <w:rPr>
          <w:sz w:val="20"/>
        </w:rPr>
        <w:t>Source: Eviews Output</w:t>
      </w:r>
    </w:p>
    <w:p w14:paraId="26E9AD4B" w14:textId="77777777" w:rsidR="009A351F" w:rsidRDefault="009A351F" w:rsidP="009E7581">
      <w:pPr>
        <w:ind w:firstLine="720"/>
        <w:jc w:val="both"/>
        <w:rPr>
          <w:sz w:val="22"/>
          <w:szCs w:val="22"/>
        </w:rPr>
      </w:pPr>
    </w:p>
    <w:p w14:paraId="7F093E88" w14:textId="54DF356E" w:rsidR="009E7581" w:rsidRPr="0071681A" w:rsidRDefault="002C6C1A" w:rsidP="009A351F">
      <w:pPr>
        <w:ind w:firstLine="567"/>
        <w:jc w:val="both"/>
        <w:rPr>
          <w:sz w:val="22"/>
          <w:szCs w:val="22"/>
        </w:rPr>
      </w:pPr>
      <w:r w:rsidRPr="002C6C1A">
        <w:rPr>
          <w:sz w:val="22"/>
          <w:szCs w:val="22"/>
        </w:rPr>
        <w:t xml:space="preserve">As can be seen in table 2, the descriptive analysis of each variable shows that the average value of the profit growth variable is 16,67788, the maximum value is 248, the minimum value is -244, and the standard deviation is 71.60757. The range of values for the sales growth variable was [0, 127.31], [0, 11.06], and [22,36129], with a mean of [14,068.79] and a standard deviation [22,36129]. The computed values for the profitability variable are as follows: mean = 23.769491, max = 143.53, min = -1918, stdev = 30.62312. The standard deviation for the liquidity variable is 120.8844, the mean is 89.27131, the maximum is 605.16, the minimum is 0.64, and the average is 89.27131. An average of 43.3439 was found for the leverage variable, with a high of </w:t>
      </w:r>
      <w:r w:rsidRPr="002C6C1A">
        <w:rPr>
          <w:sz w:val="22"/>
          <w:szCs w:val="22"/>
        </w:rPr>
        <w:t>76.95, a low of 14.06, and a standard deviation of 15.41201</w:t>
      </w:r>
      <w:r w:rsidR="009E7581" w:rsidRPr="0071681A">
        <w:rPr>
          <w:sz w:val="22"/>
          <w:szCs w:val="22"/>
        </w:rPr>
        <w:t>.</w:t>
      </w:r>
    </w:p>
    <w:p w14:paraId="46C66AB8" w14:textId="34949E30" w:rsidR="009A351F" w:rsidRDefault="009A351F" w:rsidP="009E7581">
      <w:pPr>
        <w:jc w:val="both"/>
        <w:rPr>
          <w:b/>
          <w:sz w:val="22"/>
          <w:szCs w:val="22"/>
        </w:rPr>
      </w:pPr>
    </w:p>
    <w:p w14:paraId="448555C7" w14:textId="4A3891ED" w:rsidR="00BA4BB8" w:rsidRDefault="00BA4BB8" w:rsidP="009E7581">
      <w:pPr>
        <w:jc w:val="both"/>
        <w:rPr>
          <w:b/>
          <w:sz w:val="22"/>
          <w:szCs w:val="22"/>
        </w:rPr>
      </w:pPr>
    </w:p>
    <w:p w14:paraId="77431ABE" w14:textId="77777777" w:rsidR="00BA4BB8" w:rsidRDefault="00BA4BB8" w:rsidP="009E7581">
      <w:pPr>
        <w:jc w:val="both"/>
        <w:rPr>
          <w:b/>
          <w:sz w:val="22"/>
          <w:szCs w:val="22"/>
        </w:rPr>
      </w:pPr>
    </w:p>
    <w:p w14:paraId="20B0E297" w14:textId="3C3247EA" w:rsidR="009E7581" w:rsidRPr="0071681A" w:rsidRDefault="009A351F" w:rsidP="009E7581">
      <w:pPr>
        <w:jc w:val="both"/>
        <w:rPr>
          <w:b/>
          <w:sz w:val="22"/>
          <w:szCs w:val="22"/>
        </w:rPr>
      </w:pPr>
      <w:r>
        <w:rPr>
          <w:b/>
          <w:sz w:val="22"/>
          <w:szCs w:val="22"/>
        </w:rPr>
        <w:t xml:space="preserve">4.2 </w:t>
      </w:r>
      <w:r w:rsidR="009E7581" w:rsidRPr="0071681A">
        <w:rPr>
          <w:b/>
          <w:sz w:val="22"/>
          <w:szCs w:val="22"/>
        </w:rPr>
        <w:t>Classical assumption test</w:t>
      </w:r>
    </w:p>
    <w:p w14:paraId="3CF18602" w14:textId="77777777" w:rsidR="009E7581" w:rsidRPr="0071681A" w:rsidRDefault="009E7581" w:rsidP="009E7581">
      <w:pPr>
        <w:pStyle w:val="ListParagraph"/>
        <w:numPr>
          <w:ilvl w:val="0"/>
          <w:numId w:val="17"/>
        </w:numPr>
        <w:jc w:val="both"/>
        <w:rPr>
          <w:b/>
          <w:sz w:val="22"/>
          <w:szCs w:val="22"/>
        </w:rPr>
      </w:pPr>
      <w:r w:rsidRPr="0071681A">
        <w:rPr>
          <w:b/>
          <w:sz w:val="22"/>
          <w:szCs w:val="22"/>
        </w:rPr>
        <w:t>Normality test</w:t>
      </w:r>
    </w:p>
    <w:p w14:paraId="18AEDBB0" w14:textId="77777777" w:rsidR="009E7581" w:rsidRPr="00557838" w:rsidRDefault="009E7581" w:rsidP="009E7581">
      <w:pPr>
        <w:jc w:val="center"/>
        <w:rPr>
          <w:b/>
        </w:rPr>
      </w:pPr>
      <w:r w:rsidRPr="0071681A">
        <w:rPr>
          <w:b/>
          <w:sz w:val="22"/>
          <w:szCs w:val="22"/>
        </w:rPr>
        <w:t>Table 3. Normality Test Results</w:t>
      </w:r>
    </w:p>
    <w:p w14:paraId="09482A67" w14:textId="642A226D" w:rsidR="009E7581" w:rsidRPr="009A351F" w:rsidRDefault="00B4799F" w:rsidP="009A351F">
      <w:pPr>
        <w:rPr>
          <w:sz w:val="22"/>
          <w:szCs w:val="14"/>
        </w:rPr>
      </w:pPr>
      <w:r w:rsidRPr="00B4799F">
        <w:rPr>
          <w:noProof/>
        </w:rPr>
        <w:drawing>
          <wp:inline distT="0" distB="0" distL="0" distR="0" wp14:anchorId="6F3D6515" wp14:editId="4A135E6A">
            <wp:extent cx="3440238" cy="14668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180" r="4940" b="6669"/>
                    <a:stretch/>
                  </pic:blipFill>
                  <pic:spPr bwMode="auto">
                    <a:xfrm>
                      <a:off x="0" y="0"/>
                      <a:ext cx="3444498" cy="1468666"/>
                    </a:xfrm>
                    <a:prstGeom prst="rect">
                      <a:avLst/>
                    </a:prstGeom>
                    <a:noFill/>
                    <a:ln>
                      <a:noFill/>
                    </a:ln>
                    <a:extLst>
                      <a:ext uri="{53640926-AAD7-44D8-BBD7-CCE9431645EC}">
                        <a14:shadowObscured xmlns:a14="http://schemas.microsoft.com/office/drawing/2010/main"/>
                      </a:ext>
                    </a:extLst>
                  </pic:spPr>
                </pic:pic>
              </a:graphicData>
            </a:graphic>
          </wp:inline>
        </w:drawing>
      </w:r>
      <w:r w:rsidR="009E7581" w:rsidRPr="009A351F">
        <w:rPr>
          <w:sz w:val="22"/>
          <w:szCs w:val="14"/>
        </w:rPr>
        <w:t>Source: Eviews Output</w:t>
      </w:r>
    </w:p>
    <w:p w14:paraId="6FF47D01" w14:textId="77777777" w:rsidR="009A351F" w:rsidRPr="009A351F" w:rsidRDefault="009A351F" w:rsidP="009A351F">
      <w:pPr>
        <w:rPr>
          <w:sz w:val="22"/>
          <w:szCs w:val="14"/>
        </w:rPr>
      </w:pPr>
    </w:p>
    <w:p w14:paraId="308F6BA3" w14:textId="276602EC" w:rsidR="009E7581" w:rsidRDefault="009E7581" w:rsidP="009E7581">
      <w:pPr>
        <w:jc w:val="both"/>
        <w:rPr>
          <w:sz w:val="22"/>
          <w:szCs w:val="18"/>
        </w:rPr>
      </w:pPr>
      <w:r w:rsidRPr="009A351F">
        <w:rPr>
          <w:b/>
          <w:sz w:val="22"/>
          <w:szCs w:val="22"/>
        </w:rPr>
        <w:tab/>
      </w:r>
      <w:r w:rsidR="002C6C1A" w:rsidRPr="002C6C1A">
        <w:rPr>
          <w:sz w:val="22"/>
          <w:szCs w:val="22"/>
        </w:rPr>
        <w:t>The Asymp value was found for the normality test using a one-sample Kolmogorov-Smirnov distribution, as shown in table 3. All factors are statistically significant at the two-tailed 0.05 level or higher. This implies that there is a normal distribution for all variables</w:t>
      </w:r>
      <w:r w:rsidRPr="009A351F">
        <w:rPr>
          <w:sz w:val="22"/>
          <w:szCs w:val="18"/>
        </w:rPr>
        <w:t>.</w:t>
      </w:r>
    </w:p>
    <w:p w14:paraId="5369CB9E" w14:textId="77777777" w:rsidR="0024794E" w:rsidRPr="009A351F" w:rsidRDefault="0024794E" w:rsidP="009E7581">
      <w:pPr>
        <w:jc w:val="both"/>
        <w:rPr>
          <w:sz w:val="22"/>
          <w:szCs w:val="18"/>
        </w:rPr>
      </w:pPr>
    </w:p>
    <w:p w14:paraId="09212B3A" w14:textId="77777777" w:rsidR="009E7581" w:rsidRPr="009A351F" w:rsidRDefault="009E7581" w:rsidP="009E7581">
      <w:pPr>
        <w:pStyle w:val="ListParagraph"/>
        <w:numPr>
          <w:ilvl w:val="0"/>
          <w:numId w:val="17"/>
        </w:numPr>
        <w:jc w:val="both"/>
        <w:rPr>
          <w:b/>
          <w:sz w:val="22"/>
          <w:szCs w:val="22"/>
        </w:rPr>
      </w:pPr>
      <w:r w:rsidRPr="009A351F">
        <w:rPr>
          <w:b/>
          <w:sz w:val="22"/>
          <w:szCs w:val="22"/>
        </w:rPr>
        <w:t>Multicollinearity Test</w:t>
      </w:r>
    </w:p>
    <w:p w14:paraId="5D604E52" w14:textId="77777777" w:rsidR="009E7581" w:rsidRPr="009A351F" w:rsidRDefault="009E7581" w:rsidP="009E7581">
      <w:pPr>
        <w:pStyle w:val="ListParagraph"/>
        <w:tabs>
          <w:tab w:val="left" w:pos="630"/>
          <w:tab w:val="left" w:pos="810"/>
        </w:tabs>
        <w:ind w:left="0"/>
        <w:jc w:val="center"/>
        <w:rPr>
          <w:b/>
          <w:sz w:val="22"/>
          <w:szCs w:val="22"/>
        </w:rPr>
      </w:pPr>
      <w:r w:rsidRPr="009A351F">
        <w:rPr>
          <w:b/>
          <w:sz w:val="22"/>
          <w:szCs w:val="22"/>
        </w:rPr>
        <w:t>Table 4. Multicollinearity Test Results</w:t>
      </w:r>
    </w:p>
    <w:p w14:paraId="587B6C4D" w14:textId="5DB477BD" w:rsidR="009E7581" w:rsidRPr="008E4734" w:rsidRDefault="0094627F" w:rsidP="0094627F">
      <w:pPr>
        <w:rPr>
          <w:sz w:val="20"/>
        </w:rPr>
      </w:pPr>
      <w:r w:rsidRPr="0094627F">
        <w:rPr>
          <w:noProof/>
        </w:rPr>
        <w:drawing>
          <wp:inline distT="0" distB="0" distL="0" distR="0" wp14:anchorId="1E2F321F" wp14:editId="19B848C4">
            <wp:extent cx="3387255" cy="7417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702" r="13121" b="11068"/>
                    <a:stretch/>
                  </pic:blipFill>
                  <pic:spPr bwMode="auto">
                    <a:xfrm>
                      <a:off x="0" y="0"/>
                      <a:ext cx="3419599" cy="748855"/>
                    </a:xfrm>
                    <a:prstGeom prst="rect">
                      <a:avLst/>
                    </a:prstGeom>
                    <a:noFill/>
                    <a:ln>
                      <a:noFill/>
                    </a:ln>
                    <a:extLst>
                      <a:ext uri="{53640926-AAD7-44D8-BBD7-CCE9431645EC}">
                        <a14:shadowObscured xmlns:a14="http://schemas.microsoft.com/office/drawing/2010/main"/>
                      </a:ext>
                    </a:extLst>
                  </pic:spPr>
                </pic:pic>
              </a:graphicData>
            </a:graphic>
          </wp:inline>
        </w:drawing>
      </w:r>
      <w:r w:rsidR="009E7581" w:rsidRPr="008E4734">
        <w:rPr>
          <w:sz w:val="20"/>
        </w:rPr>
        <w:t>Source: Eviews Output</w:t>
      </w:r>
    </w:p>
    <w:p w14:paraId="3B45A425" w14:textId="77777777" w:rsidR="0094627F" w:rsidRDefault="0094627F" w:rsidP="009E7581">
      <w:pPr>
        <w:ind w:firstLine="720"/>
        <w:jc w:val="both"/>
        <w:rPr>
          <w:sz w:val="22"/>
          <w:szCs w:val="22"/>
        </w:rPr>
      </w:pPr>
    </w:p>
    <w:p w14:paraId="11F6AFA0" w14:textId="543C0E6E" w:rsidR="009E7581" w:rsidRDefault="002C6C1A" w:rsidP="009E7581">
      <w:pPr>
        <w:ind w:firstLine="720"/>
        <w:jc w:val="both"/>
        <w:rPr>
          <w:sz w:val="22"/>
          <w:szCs w:val="22"/>
        </w:rPr>
      </w:pPr>
      <w:r w:rsidRPr="002C6C1A">
        <w:rPr>
          <w:sz w:val="22"/>
          <w:szCs w:val="22"/>
        </w:rPr>
        <w:t>Multicollinearity test findings show that the independent variable has a value of less than 0.8, as shown in table 4. Regression model free of multicollinearity</w:t>
      </w:r>
      <w:r w:rsidR="009E7581" w:rsidRPr="009A351F">
        <w:rPr>
          <w:sz w:val="22"/>
          <w:szCs w:val="22"/>
        </w:rPr>
        <w:t>.</w:t>
      </w:r>
    </w:p>
    <w:p w14:paraId="2F1C3513" w14:textId="77777777" w:rsidR="0000097C" w:rsidRPr="009A351F" w:rsidRDefault="0000097C" w:rsidP="009E7581">
      <w:pPr>
        <w:ind w:firstLine="720"/>
        <w:jc w:val="both"/>
        <w:rPr>
          <w:sz w:val="22"/>
          <w:szCs w:val="22"/>
        </w:rPr>
      </w:pPr>
    </w:p>
    <w:p w14:paraId="3FBC44F2" w14:textId="77777777" w:rsidR="009E7581" w:rsidRPr="009A351F" w:rsidRDefault="009E7581" w:rsidP="009E7581">
      <w:pPr>
        <w:pStyle w:val="ListParagraph"/>
        <w:numPr>
          <w:ilvl w:val="0"/>
          <w:numId w:val="17"/>
        </w:numPr>
        <w:jc w:val="both"/>
        <w:rPr>
          <w:b/>
          <w:sz w:val="22"/>
          <w:szCs w:val="22"/>
        </w:rPr>
      </w:pPr>
      <w:r w:rsidRPr="009A351F">
        <w:rPr>
          <w:b/>
          <w:sz w:val="22"/>
          <w:szCs w:val="22"/>
        </w:rPr>
        <w:t>Autocorrelation Test</w:t>
      </w:r>
    </w:p>
    <w:p w14:paraId="34ADDE1E" w14:textId="77777777" w:rsidR="009E7581" w:rsidRPr="009A351F" w:rsidRDefault="009E7581" w:rsidP="009E7581">
      <w:pPr>
        <w:pStyle w:val="ListParagraph"/>
        <w:tabs>
          <w:tab w:val="left" w:pos="630"/>
          <w:tab w:val="left" w:pos="810"/>
        </w:tabs>
        <w:ind w:left="0"/>
        <w:jc w:val="center"/>
        <w:rPr>
          <w:b/>
          <w:sz w:val="22"/>
          <w:szCs w:val="22"/>
        </w:rPr>
      </w:pPr>
      <w:r w:rsidRPr="009A351F">
        <w:rPr>
          <w:b/>
          <w:sz w:val="22"/>
          <w:szCs w:val="22"/>
        </w:rPr>
        <w:t>Table 5. Autocorrelation Test Results</w:t>
      </w:r>
    </w:p>
    <w:p w14:paraId="3A9BFFBA" w14:textId="20878459" w:rsidR="0000097C" w:rsidRDefault="0000097C" w:rsidP="009A351F">
      <w:pPr>
        <w:rPr>
          <w:sz w:val="22"/>
          <w:szCs w:val="22"/>
        </w:rPr>
      </w:pPr>
      <w:r w:rsidRPr="0000097C">
        <w:rPr>
          <w:noProof/>
        </w:rPr>
        <w:drawing>
          <wp:inline distT="0" distB="0" distL="0" distR="0" wp14:anchorId="4F09C2B3" wp14:editId="17D668DA">
            <wp:extent cx="2898775" cy="7336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908" r="18566" b="23219"/>
                    <a:stretch/>
                  </pic:blipFill>
                  <pic:spPr bwMode="auto">
                    <a:xfrm>
                      <a:off x="0" y="0"/>
                      <a:ext cx="2938535" cy="743709"/>
                    </a:xfrm>
                    <a:prstGeom prst="rect">
                      <a:avLst/>
                    </a:prstGeom>
                    <a:noFill/>
                    <a:ln>
                      <a:noFill/>
                    </a:ln>
                    <a:extLst>
                      <a:ext uri="{53640926-AAD7-44D8-BBD7-CCE9431645EC}">
                        <a14:shadowObscured xmlns:a14="http://schemas.microsoft.com/office/drawing/2010/main"/>
                      </a:ext>
                    </a:extLst>
                  </pic:spPr>
                </pic:pic>
              </a:graphicData>
            </a:graphic>
          </wp:inline>
        </w:drawing>
      </w:r>
    </w:p>
    <w:p w14:paraId="6408E6FB" w14:textId="290EDF5F" w:rsidR="009E7581" w:rsidRPr="008E4734" w:rsidRDefault="009E7581" w:rsidP="009A351F">
      <w:pPr>
        <w:rPr>
          <w:sz w:val="20"/>
        </w:rPr>
      </w:pPr>
      <w:r w:rsidRPr="008E4734">
        <w:rPr>
          <w:sz w:val="20"/>
        </w:rPr>
        <w:t>Source: Eviews Output</w:t>
      </w:r>
    </w:p>
    <w:p w14:paraId="5178DD5C" w14:textId="77777777" w:rsidR="008E4734" w:rsidRDefault="008E4734" w:rsidP="009E7581">
      <w:pPr>
        <w:ind w:firstLine="720"/>
        <w:jc w:val="both"/>
        <w:rPr>
          <w:sz w:val="22"/>
          <w:szCs w:val="22"/>
        </w:rPr>
      </w:pPr>
    </w:p>
    <w:p w14:paraId="44922864" w14:textId="08626CBC" w:rsidR="009E7581" w:rsidRDefault="002C6C1A" w:rsidP="009E7581">
      <w:pPr>
        <w:ind w:firstLine="720"/>
        <w:jc w:val="both"/>
        <w:rPr>
          <w:sz w:val="22"/>
          <w:szCs w:val="22"/>
        </w:rPr>
      </w:pPr>
      <w:r w:rsidRPr="002C6C1A">
        <w:rPr>
          <w:sz w:val="22"/>
          <w:szCs w:val="22"/>
        </w:rPr>
        <w:t xml:space="preserve">Table 5 shows that the Durbin Watson stat for the autocorrelation test is 2.164762. Using the Durbin-Watson table, we get dL = 1.5897 and dU = 1.7575 for N = 99 observations and K = 4 </w:t>
      </w:r>
      <w:r w:rsidRPr="002C6C1A">
        <w:rPr>
          <w:sz w:val="22"/>
          <w:szCs w:val="22"/>
        </w:rPr>
        <w:lastRenderedPageBreak/>
        <w:t>independent variables</w:t>
      </w:r>
      <w:r w:rsidR="009E7581" w:rsidRPr="009A351F">
        <w:rPr>
          <w:sz w:val="22"/>
          <w:szCs w:val="22"/>
        </w:rPr>
        <w:t>, it is obtained dL = 1.5897 and dU = 1.7575. So the value of 4-dU = (4 – 1.7575 = 2.2425). So that the Durbin Watson model is in the dU &lt; dw &lt; 4-dU region, namely 1.7575 &lt; 2.164762 &lt; 2.2425. This means that there is no autocorrelation in the regression model.</w:t>
      </w:r>
    </w:p>
    <w:p w14:paraId="3C2A22F7" w14:textId="77777777" w:rsidR="00C229A5" w:rsidRPr="009A351F" w:rsidRDefault="00C229A5" w:rsidP="009E7581">
      <w:pPr>
        <w:ind w:firstLine="720"/>
        <w:jc w:val="both"/>
        <w:rPr>
          <w:sz w:val="22"/>
          <w:szCs w:val="22"/>
        </w:rPr>
      </w:pPr>
    </w:p>
    <w:p w14:paraId="36244BD0" w14:textId="77777777" w:rsidR="009E7581" w:rsidRPr="009A351F" w:rsidRDefault="009E7581" w:rsidP="009E7581">
      <w:pPr>
        <w:pStyle w:val="ListParagraph"/>
        <w:numPr>
          <w:ilvl w:val="0"/>
          <w:numId w:val="17"/>
        </w:numPr>
        <w:jc w:val="both"/>
        <w:rPr>
          <w:b/>
          <w:sz w:val="22"/>
          <w:szCs w:val="22"/>
        </w:rPr>
      </w:pPr>
      <w:r w:rsidRPr="009A351F">
        <w:rPr>
          <w:b/>
          <w:sz w:val="22"/>
          <w:szCs w:val="22"/>
        </w:rPr>
        <w:t>Heteroscedasticity Test</w:t>
      </w:r>
    </w:p>
    <w:p w14:paraId="297D28FB" w14:textId="77777777" w:rsidR="009E7581" w:rsidRPr="009A351F" w:rsidRDefault="009E7581" w:rsidP="009E7581">
      <w:pPr>
        <w:pStyle w:val="ListParagraph"/>
        <w:ind w:left="0"/>
        <w:jc w:val="center"/>
        <w:rPr>
          <w:b/>
          <w:sz w:val="22"/>
          <w:szCs w:val="22"/>
        </w:rPr>
      </w:pPr>
      <w:r w:rsidRPr="009A351F">
        <w:rPr>
          <w:b/>
          <w:sz w:val="22"/>
          <w:szCs w:val="22"/>
        </w:rPr>
        <w:t>Table 6. Heteroscedasticity Test Results</w:t>
      </w:r>
    </w:p>
    <w:p w14:paraId="50E92815" w14:textId="286B8F21" w:rsidR="00C229A5" w:rsidRDefault="00C229A5" w:rsidP="00C229A5">
      <w:pPr>
        <w:rPr>
          <w:sz w:val="22"/>
          <w:szCs w:val="22"/>
        </w:rPr>
      </w:pPr>
      <w:r w:rsidRPr="00C229A5">
        <w:rPr>
          <w:noProof/>
        </w:rPr>
        <w:drawing>
          <wp:inline distT="0" distB="0" distL="0" distR="0" wp14:anchorId="72099041" wp14:editId="001D8F10">
            <wp:extent cx="2965011" cy="850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309" r="13101" b="18508"/>
                    <a:stretch/>
                  </pic:blipFill>
                  <pic:spPr bwMode="auto">
                    <a:xfrm>
                      <a:off x="0" y="0"/>
                      <a:ext cx="2981570" cy="855014"/>
                    </a:xfrm>
                    <a:prstGeom prst="rect">
                      <a:avLst/>
                    </a:prstGeom>
                    <a:noFill/>
                    <a:ln>
                      <a:noFill/>
                    </a:ln>
                    <a:extLst>
                      <a:ext uri="{53640926-AAD7-44D8-BBD7-CCE9431645EC}">
                        <a14:shadowObscured xmlns:a14="http://schemas.microsoft.com/office/drawing/2010/main"/>
                      </a:ext>
                    </a:extLst>
                  </pic:spPr>
                </pic:pic>
              </a:graphicData>
            </a:graphic>
          </wp:inline>
        </w:drawing>
      </w:r>
    </w:p>
    <w:p w14:paraId="7B1D17B5" w14:textId="376FA3BC" w:rsidR="009E7581" w:rsidRPr="00C229A5" w:rsidRDefault="009E7581" w:rsidP="00C229A5">
      <w:pPr>
        <w:rPr>
          <w:sz w:val="20"/>
        </w:rPr>
      </w:pPr>
      <w:r w:rsidRPr="00C229A5">
        <w:rPr>
          <w:sz w:val="20"/>
        </w:rPr>
        <w:t>Source: Eviews Output</w:t>
      </w:r>
    </w:p>
    <w:p w14:paraId="498513DF" w14:textId="77777777" w:rsidR="00C229A5" w:rsidRDefault="00C229A5" w:rsidP="009E7581">
      <w:pPr>
        <w:ind w:firstLine="720"/>
        <w:jc w:val="both"/>
        <w:rPr>
          <w:sz w:val="22"/>
          <w:szCs w:val="22"/>
        </w:rPr>
      </w:pPr>
    </w:p>
    <w:p w14:paraId="26236202" w14:textId="5CD4F895" w:rsidR="009E7581" w:rsidRDefault="002C6C1A" w:rsidP="009E7581">
      <w:pPr>
        <w:ind w:firstLine="720"/>
        <w:jc w:val="both"/>
        <w:rPr>
          <w:sz w:val="22"/>
          <w:szCs w:val="22"/>
        </w:rPr>
      </w:pPr>
      <w:r w:rsidRPr="002C6C1A">
        <w:rPr>
          <w:sz w:val="22"/>
          <w:szCs w:val="22"/>
        </w:rPr>
        <w:t>Each independent variable in table 6 has a significance level greater than 0.05, as determined by the heteroscedasticity test. This indicates that heteroscedasticity is absent</w:t>
      </w:r>
      <w:r w:rsidR="009E7581" w:rsidRPr="009A351F">
        <w:rPr>
          <w:sz w:val="22"/>
          <w:szCs w:val="22"/>
        </w:rPr>
        <w:t>.</w:t>
      </w:r>
    </w:p>
    <w:p w14:paraId="548B5784" w14:textId="77777777" w:rsidR="00705D58" w:rsidRPr="009A351F" w:rsidRDefault="00705D58" w:rsidP="009E7581">
      <w:pPr>
        <w:ind w:firstLine="720"/>
        <w:jc w:val="both"/>
        <w:rPr>
          <w:sz w:val="22"/>
          <w:szCs w:val="22"/>
        </w:rPr>
      </w:pPr>
    </w:p>
    <w:p w14:paraId="3673A5E4" w14:textId="11955A93" w:rsidR="009E7581" w:rsidRPr="009A351F" w:rsidRDefault="00705D58" w:rsidP="009E7581">
      <w:pPr>
        <w:jc w:val="both"/>
        <w:rPr>
          <w:b/>
          <w:sz w:val="22"/>
          <w:szCs w:val="22"/>
        </w:rPr>
      </w:pPr>
      <w:r>
        <w:rPr>
          <w:b/>
          <w:sz w:val="22"/>
          <w:szCs w:val="22"/>
        </w:rPr>
        <w:t xml:space="preserve">4.3 </w:t>
      </w:r>
      <w:r w:rsidR="009E7581" w:rsidRPr="009A351F">
        <w:rPr>
          <w:b/>
          <w:sz w:val="22"/>
          <w:szCs w:val="22"/>
        </w:rPr>
        <w:t>Panel Data Regression Model Estimation</w:t>
      </w:r>
    </w:p>
    <w:p w14:paraId="0DAFFA64" w14:textId="77777777" w:rsidR="009E7581" w:rsidRPr="00705D58" w:rsidRDefault="009E7581" w:rsidP="009E7581">
      <w:pPr>
        <w:pStyle w:val="ListParagraph"/>
        <w:numPr>
          <w:ilvl w:val="0"/>
          <w:numId w:val="13"/>
        </w:numPr>
        <w:jc w:val="both"/>
        <w:rPr>
          <w:bCs/>
          <w:sz w:val="22"/>
          <w:szCs w:val="22"/>
        </w:rPr>
      </w:pPr>
      <w:r w:rsidRPr="00705D58">
        <w:rPr>
          <w:bCs/>
          <w:sz w:val="22"/>
          <w:szCs w:val="22"/>
        </w:rPr>
        <w:t>Common Effect Models</w:t>
      </w:r>
    </w:p>
    <w:p w14:paraId="31AD51A5" w14:textId="77777777" w:rsidR="00BA4BB8" w:rsidRDefault="00BA4BB8" w:rsidP="00705D58">
      <w:pPr>
        <w:pStyle w:val="ListParagraph"/>
        <w:ind w:left="360"/>
        <w:jc w:val="both"/>
        <w:rPr>
          <w:sz w:val="20"/>
        </w:rPr>
      </w:pPr>
    </w:p>
    <w:p w14:paraId="33258AA6" w14:textId="112ACAA8" w:rsidR="009E7581" w:rsidRDefault="009E7581" w:rsidP="00705D58">
      <w:pPr>
        <w:pStyle w:val="ListParagraph"/>
        <w:ind w:left="360"/>
        <w:jc w:val="both"/>
        <w:rPr>
          <w:sz w:val="20"/>
          <w:vertAlign w:val="subscript"/>
        </w:rPr>
      </w:pPr>
      <w:r w:rsidRPr="00705D58">
        <w:rPr>
          <w:sz w:val="20"/>
        </w:rPr>
        <w:t xml:space="preserve">Y </w:t>
      </w:r>
      <w:r w:rsidRPr="00705D58">
        <w:rPr>
          <w:sz w:val="20"/>
          <w:vertAlign w:val="subscript"/>
        </w:rPr>
        <w:t xml:space="preserve">it </w:t>
      </w:r>
      <w:r w:rsidRPr="00705D58">
        <w:rPr>
          <w:sz w:val="20"/>
        </w:rPr>
        <w:t xml:space="preserve">= </w:t>
      </w:r>
      <w:r w:rsidRPr="00705D58">
        <w:rPr>
          <w:color w:val="000000"/>
          <w:sz w:val="20"/>
        </w:rPr>
        <w:t>0.454527 + 0.901275</w:t>
      </w:r>
      <w:r w:rsidRPr="00705D58">
        <w:rPr>
          <w:color w:val="000000"/>
          <w:sz w:val="20"/>
          <w:vertAlign w:val="subscript"/>
        </w:rPr>
        <w:t xml:space="preserve">X1 </w:t>
      </w:r>
      <w:r w:rsidRPr="00705D58">
        <w:rPr>
          <w:color w:val="000000"/>
          <w:sz w:val="20"/>
        </w:rPr>
        <w:t>+ 0.145800</w:t>
      </w:r>
      <w:r w:rsidRPr="00705D58">
        <w:rPr>
          <w:color w:val="000000"/>
          <w:sz w:val="20"/>
          <w:vertAlign w:val="subscript"/>
        </w:rPr>
        <w:t xml:space="preserve">X2 </w:t>
      </w:r>
      <w:r w:rsidRPr="00705D58">
        <w:rPr>
          <w:color w:val="000000"/>
          <w:sz w:val="20"/>
        </w:rPr>
        <w:t>– 0.064034</w:t>
      </w:r>
      <w:r w:rsidRPr="00705D58">
        <w:rPr>
          <w:color w:val="000000"/>
          <w:sz w:val="20"/>
          <w:vertAlign w:val="subscript"/>
        </w:rPr>
        <w:t xml:space="preserve">X3 </w:t>
      </w:r>
      <w:r w:rsidRPr="00705D58">
        <w:rPr>
          <w:color w:val="000000"/>
          <w:sz w:val="20"/>
        </w:rPr>
        <w:t>– 0.904725</w:t>
      </w:r>
      <w:r w:rsidRPr="00705D58">
        <w:rPr>
          <w:color w:val="000000"/>
          <w:sz w:val="20"/>
          <w:vertAlign w:val="subscript"/>
        </w:rPr>
        <w:t xml:space="preserve">X4 </w:t>
      </w:r>
      <w:r w:rsidRPr="00705D58">
        <w:rPr>
          <w:color w:val="000000"/>
          <w:sz w:val="20"/>
        </w:rPr>
        <w:t xml:space="preserve">+ </w:t>
      </w:r>
      <w:r w:rsidRPr="00705D58">
        <w:rPr>
          <w:sz w:val="20"/>
        </w:rPr>
        <w:t>e</w:t>
      </w:r>
      <w:r w:rsidRPr="00705D58">
        <w:rPr>
          <w:sz w:val="20"/>
          <w:vertAlign w:val="subscript"/>
        </w:rPr>
        <w:t>it</w:t>
      </w:r>
    </w:p>
    <w:p w14:paraId="35A49A51" w14:textId="77777777" w:rsidR="00BA4BB8" w:rsidRPr="00705D58" w:rsidRDefault="00BA4BB8" w:rsidP="00705D58">
      <w:pPr>
        <w:pStyle w:val="ListParagraph"/>
        <w:ind w:left="360"/>
        <w:jc w:val="both"/>
        <w:rPr>
          <w:sz w:val="20"/>
          <w:vertAlign w:val="subscript"/>
        </w:rPr>
      </w:pPr>
    </w:p>
    <w:p w14:paraId="4244BE3F" w14:textId="77777777" w:rsidR="009E7581" w:rsidRPr="00705D58" w:rsidRDefault="009E7581" w:rsidP="009E7581">
      <w:pPr>
        <w:pStyle w:val="ListParagraph"/>
        <w:numPr>
          <w:ilvl w:val="0"/>
          <w:numId w:val="13"/>
        </w:numPr>
        <w:jc w:val="both"/>
        <w:rPr>
          <w:bCs/>
          <w:color w:val="000000"/>
          <w:sz w:val="22"/>
          <w:szCs w:val="22"/>
        </w:rPr>
      </w:pPr>
      <w:r w:rsidRPr="00705D58">
        <w:rPr>
          <w:bCs/>
          <w:sz w:val="22"/>
          <w:szCs w:val="22"/>
        </w:rPr>
        <w:t>Fixed Effect Model</w:t>
      </w:r>
    </w:p>
    <w:p w14:paraId="6D854CDB" w14:textId="77777777" w:rsidR="00BA4BB8" w:rsidRDefault="00BA4BB8" w:rsidP="00705D58">
      <w:pPr>
        <w:pStyle w:val="ListParagraph"/>
        <w:ind w:left="360"/>
        <w:jc w:val="both"/>
        <w:rPr>
          <w:sz w:val="20"/>
        </w:rPr>
      </w:pPr>
    </w:p>
    <w:p w14:paraId="62435CB6" w14:textId="6121ECC6" w:rsidR="009E7581" w:rsidRDefault="009E7581" w:rsidP="00705D58">
      <w:pPr>
        <w:pStyle w:val="ListParagraph"/>
        <w:ind w:left="360"/>
        <w:jc w:val="both"/>
        <w:rPr>
          <w:sz w:val="20"/>
          <w:vertAlign w:val="subscript"/>
        </w:rPr>
      </w:pPr>
      <w:r w:rsidRPr="00705D58">
        <w:rPr>
          <w:sz w:val="20"/>
        </w:rPr>
        <w:t xml:space="preserve">Y </w:t>
      </w:r>
      <w:r w:rsidRPr="00705D58">
        <w:rPr>
          <w:sz w:val="20"/>
          <w:vertAlign w:val="subscript"/>
        </w:rPr>
        <w:t xml:space="preserve">it  </w:t>
      </w:r>
      <w:r w:rsidRPr="00705D58">
        <w:rPr>
          <w:sz w:val="20"/>
        </w:rPr>
        <w:t xml:space="preserve">= 0.351006 </w:t>
      </w:r>
      <w:r w:rsidRPr="00705D58">
        <w:rPr>
          <w:color w:val="000000"/>
          <w:sz w:val="20"/>
        </w:rPr>
        <w:t>+</w:t>
      </w:r>
      <w:r w:rsidRPr="00705D58">
        <w:rPr>
          <w:sz w:val="20"/>
        </w:rPr>
        <w:t xml:space="preserve"> 0.107659</w:t>
      </w:r>
      <w:r w:rsidRPr="00705D58">
        <w:rPr>
          <w:sz w:val="20"/>
          <w:vertAlign w:val="subscript"/>
        </w:rPr>
        <w:t>CEKA</w:t>
      </w:r>
      <w:r w:rsidRPr="00705D58">
        <w:rPr>
          <w:sz w:val="20"/>
        </w:rPr>
        <w:t xml:space="preserve"> – 0.073540</w:t>
      </w:r>
      <w:r w:rsidRPr="00705D58">
        <w:rPr>
          <w:sz w:val="20"/>
          <w:vertAlign w:val="subscript"/>
        </w:rPr>
        <w:t xml:space="preserve">DLTA </w:t>
      </w:r>
      <w:r w:rsidRPr="00705D58">
        <w:rPr>
          <w:sz w:val="20"/>
        </w:rPr>
        <w:t>– 0.003141</w:t>
      </w:r>
      <w:r w:rsidRPr="00705D58">
        <w:rPr>
          <w:sz w:val="20"/>
          <w:vertAlign w:val="subscript"/>
        </w:rPr>
        <w:t xml:space="preserve">ICBP </w:t>
      </w:r>
      <w:r w:rsidRPr="00705D58">
        <w:rPr>
          <w:sz w:val="20"/>
        </w:rPr>
        <w:t>+ 0.038048</w:t>
      </w:r>
      <w:r w:rsidRPr="00705D58">
        <w:rPr>
          <w:sz w:val="20"/>
          <w:vertAlign w:val="subscript"/>
        </w:rPr>
        <w:t>INDF</w:t>
      </w:r>
      <w:r w:rsidRPr="00705D58">
        <w:rPr>
          <w:sz w:val="20"/>
        </w:rPr>
        <w:t xml:space="preserve"> – 0.195807</w:t>
      </w:r>
      <w:r w:rsidRPr="00705D58">
        <w:rPr>
          <w:sz w:val="20"/>
          <w:vertAlign w:val="subscript"/>
        </w:rPr>
        <w:t xml:space="preserve">MLBI </w:t>
      </w:r>
      <w:r w:rsidRPr="00705D58">
        <w:rPr>
          <w:sz w:val="20"/>
        </w:rPr>
        <w:t>+ 0.045515</w:t>
      </w:r>
      <w:r w:rsidRPr="00705D58">
        <w:rPr>
          <w:sz w:val="20"/>
          <w:vertAlign w:val="subscript"/>
        </w:rPr>
        <w:t xml:space="preserve">MYOR </w:t>
      </w:r>
      <w:r w:rsidRPr="00705D58">
        <w:rPr>
          <w:sz w:val="20"/>
        </w:rPr>
        <w:t>– 0.102818</w:t>
      </w:r>
      <w:r w:rsidRPr="00705D58">
        <w:rPr>
          <w:sz w:val="20"/>
          <w:vertAlign w:val="subscript"/>
        </w:rPr>
        <w:t xml:space="preserve">PSDN </w:t>
      </w:r>
      <w:r w:rsidRPr="00705D58">
        <w:rPr>
          <w:sz w:val="20"/>
        </w:rPr>
        <w:t>+ 0.013972</w:t>
      </w:r>
      <w:r w:rsidRPr="00705D58">
        <w:rPr>
          <w:sz w:val="20"/>
          <w:vertAlign w:val="subscript"/>
        </w:rPr>
        <w:t xml:space="preserve">BREAD </w:t>
      </w:r>
      <w:r w:rsidRPr="00705D58">
        <w:rPr>
          <w:sz w:val="20"/>
        </w:rPr>
        <w:t>+</w:t>
      </w:r>
      <w:r w:rsidRPr="00705D58">
        <w:rPr>
          <w:sz w:val="20"/>
          <w:vertAlign w:val="subscript"/>
        </w:rPr>
        <w:t xml:space="preserve"> </w:t>
      </w:r>
      <w:r w:rsidRPr="00705D58">
        <w:rPr>
          <w:sz w:val="20"/>
        </w:rPr>
        <w:t>0.091775</w:t>
      </w:r>
      <w:r w:rsidRPr="00705D58">
        <w:rPr>
          <w:sz w:val="20"/>
          <w:vertAlign w:val="subscript"/>
        </w:rPr>
        <w:t xml:space="preserve">SKLT </w:t>
      </w:r>
      <w:r w:rsidRPr="00705D58">
        <w:rPr>
          <w:sz w:val="20"/>
        </w:rPr>
        <w:t>+ 0.069951</w:t>
      </w:r>
      <w:r w:rsidRPr="00705D58">
        <w:rPr>
          <w:sz w:val="20"/>
          <w:vertAlign w:val="subscript"/>
        </w:rPr>
        <w:t xml:space="preserve">STTP </w:t>
      </w:r>
      <w:r w:rsidRPr="00705D58">
        <w:rPr>
          <w:sz w:val="20"/>
        </w:rPr>
        <w:t>–</w:t>
      </w:r>
      <w:r w:rsidRPr="00705D58">
        <w:rPr>
          <w:sz w:val="20"/>
          <w:vertAlign w:val="subscript"/>
        </w:rPr>
        <w:t xml:space="preserve"> </w:t>
      </w:r>
      <w:r w:rsidRPr="00705D58">
        <w:rPr>
          <w:sz w:val="20"/>
        </w:rPr>
        <w:t>0.008386</w:t>
      </w:r>
      <w:r w:rsidRPr="00705D58">
        <w:rPr>
          <w:sz w:val="20"/>
          <w:vertAlign w:val="subscript"/>
        </w:rPr>
        <w:t xml:space="preserve">UTLJ </w:t>
      </w:r>
      <w:r w:rsidRPr="00705D58">
        <w:rPr>
          <w:sz w:val="20"/>
        </w:rPr>
        <w:t>+ 0.847071</w:t>
      </w:r>
      <w:r w:rsidRPr="00705D58">
        <w:rPr>
          <w:sz w:val="20"/>
          <w:vertAlign w:val="subscript"/>
        </w:rPr>
        <w:t xml:space="preserve">X1 </w:t>
      </w:r>
      <w:r w:rsidRPr="00705D58">
        <w:rPr>
          <w:sz w:val="20"/>
        </w:rPr>
        <w:t>+ 0.321442</w:t>
      </w:r>
      <w:r w:rsidRPr="00705D58">
        <w:rPr>
          <w:sz w:val="20"/>
          <w:vertAlign w:val="subscript"/>
        </w:rPr>
        <w:t xml:space="preserve">X2 </w:t>
      </w:r>
      <w:r w:rsidRPr="00705D58">
        <w:rPr>
          <w:sz w:val="20"/>
        </w:rPr>
        <w:t>– 0.039153</w:t>
      </w:r>
      <w:r w:rsidRPr="00705D58">
        <w:rPr>
          <w:sz w:val="20"/>
          <w:vertAlign w:val="subscript"/>
        </w:rPr>
        <w:t>X3</w:t>
      </w:r>
      <w:r w:rsidRPr="00705D58">
        <w:rPr>
          <w:sz w:val="20"/>
        </w:rPr>
        <w:t xml:space="preserve"> – 0.795575</w:t>
      </w:r>
      <w:r w:rsidRPr="00705D58">
        <w:rPr>
          <w:sz w:val="20"/>
          <w:vertAlign w:val="subscript"/>
        </w:rPr>
        <w:t xml:space="preserve">x4 </w:t>
      </w:r>
      <w:r w:rsidRPr="00705D58">
        <w:rPr>
          <w:sz w:val="20"/>
        </w:rPr>
        <w:t>+ e</w:t>
      </w:r>
      <w:r w:rsidRPr="00705D58">
        <w:rPr>
          <w:sz w:val="20"/>
          <w:vertAlign w:val="subscript"/>
        </w:rPr>
        <w:t>it</w:t>
      </w:r>
    </w:p>
    <w:p w14:paraId="324EB963" w14:textId="77777777" w:rsidR="00BA4BB8" w:rsidRPr="00705D58" w:rsidRDefault="00BA4BB8" w:rsidP="00705D58">
      <w:pPr>
        <w:pStyle w:val="ListParagraph"/>
        <w:ind w:left="360"/>
        <w:jc w:val="both"/>
        <w:rPr>
          <w:sz w:val="20"/>
          <w:vertAlign w:val="subscript"/>
        </w:rPr>
      </w:pPr>
    </w:p>
    <w:p w14:paraId="78106F6A" w14:textId="77777777" w:rsidR="009E7581" w:rsidRPr="00705D58" w:rsidRDefault="009E7581" w:rsidP="009E7581">
      <w:pPr>
        <w:pStyle w:val="ListParagraph"/>
        <w:numPr>
          <w:ilvl w:val="0"/>
          <w:numId w:val="13"/>
        </w:numPr>
        <w:jc w:val="both"/>
        <w:rPr>
          <w:bCs/>
          <w:sz w:val="22"/>
          <w:szCs w:val="22"/>
        </w:rPr>
      </w:pPr>
      <w:r w:rsidRPr="00705D58">
        <w:rPr>
          <w:bCs/>
          <w:sz w:val="22"/>
          <w:szCs w:val="22"/>
        </w:rPr>
        <w:t>Random Effect Model</w:t>
      </w:r>
    </w:p>
    <w:p w14:paraId="60B3D984" w14:textId="77777777" w:rsidR="00BA4BB8" w:rsidRDefault="00BA4BB8" w:rsidP="00705D58">
      <w:pPr>
        <w:ind w:left="360"/>
        <w:jc w:val="both"/>
        <w:rPr>
          <w:sz w:val="20"/>
        </w:rPr>
      </w:pPr>
    </w:p>
    <w:p w14:paraId="298F3FAD" w14:textId="2DE26119" w:rsidR="009E7581" w:rsidRPr="00705D58" w:rsidRDefault="009E7581" w:rsidP="00705D58">
      <w:pPr>
        <w:ind w:left="360"/>
        <w:jc w:val="both"/>
        <w:rPr>
          <w:sz w:val="20"/>
          <w:vertAlign w:val="subscript"/>
        </w:rPr>
      </w:pPr>
      <w:r w:rsidRPr="00705D58">
        <w:rPr>
          <w:sz w:val="20"/>
        </w:rPr>
        <w:t>Y</w:t>
      </w:r>
      <w:r w:rsidRPr="00705D58">
        <w:rPr>
          <w:sz w:val="20"/>
          <w:vertAlign w:val="subscript"/>
        </w:rPr>
        <w:t>it</w:t>
      </w:r>
      <w:r w:rsidRPr="00705D58">
        <w:rPr>
          <w:sz w:val="20"/>
        </w:rPr>
        <w:t xml:space="preserve"> = 0.452436 + 0.898515</w:t>
      </w:r>
      <w:r w:rsidRPr="00705D58">
        <w:rPr>
          <w:sz w:val="20"/>
          <w:vertAlign w:val="subscript"/>
        </w:rPr>
        <w:t xml:space="preserve">X1 </w:t>
      </w:r>
      <w:r w:rsidRPr="00705D58">
        <w:rPr>
          <w:sz w:val="20"/>
        </w:rPr>
        <w:t>+ 0.146254</w:t>
      </w:r>
      <w:r w:rsidRPr="00705D58">
        <w:rPr>
          <w:sz w:val="20"/>
          <w:vertAlign w:val="subscript"/>
        </w:rPr>
        <w:t>X2</w:t>
      </w:r>
      <w:r w:rsidRPr="00705D58">
        <w:rPr>
          <w:sz w:val="20"/>
        </w:rPr>
        <w:t xml:space="preserve"> – 0.063450</w:t>
      </w:r>
      <w:r w:rsidRPr="00705D58">
        <w:rPr>
          <w:sz w:val="20"/>
          <w:vertAlign w:val="subscript"/>
        </w:rPr>
        <w:t>X3</w:t>
      </w:r>
      <w:r w:rsidRPr="00705D58">
        <w:rPr>
          <w:sz w:val="20"/>
        </w:rPr>
        <w:t xml:space="preserve"> – 0.900454</w:t>
      </w:r>
      <w:r w:rsidRPr="00705D58">
        <w:rPr>
          <w:sz w:val="20"/>
          <w:vertAlign w:val="subscript"/>
        </w:rPr>
        <w:t>x4</w:t>
      </w:r>
      <w:r w:rsidRPr="00705D58">
        <w:rPr>
          <w:sz w:val="20"/>
        </w:rPr>
        <w:t xml:space="preserve"> + 0.004570</w:t>
      </w:r>
      <w:r w:rsidRPr="00705D58">
        <w:rPr>
          <w:sz w:val="20"/>
          <w:vertAlign w:val="subscript"/>
        </w:rPr>
        <w:t>CEKA</w:t>
      </w:r>
      <w:r w:rsidRPr="00705D58">
        <w:rPr>
          <w:sz w:val="20"/>
        </w:rPr>
        <w:t xml:space="preserve"> – 0.000977</w:t>
      </w:r>
      <w:r w:rsidRPr="00705D58">
        <w:rPr>
          <w:sz w:val="20"/>
          <w:vertAlign w:val="subscript"/>
        </w:rPr>
        <w:t>DLTA</w:t>
      </w:r>
      <w:r w:rsidRPr="00705D58">
        <w:rPr>
          <w:sz w:val="20"/>
        </w:rPr>
        <w:t xml:space="preserve"> – 0.000655</w:t>
      </w:r>
      <w:r w:rsidRPr="00705D58">
        <w:rPr>
          <w:sz w:val="20"/>
          <w:vertAlign w:val="subscript"/>
        </w:rPr>
        <w:t xml:space="preserve">ICBP </w:t>
      </w:r>
      <w:r w:rsidRPr="00705D58">
        <w:rPr>
          <w:sz w:val="20"/>
        </w:rPr>
        <w:t>+ 0.001148</w:t>
      </w:r>
      <w:r w:rsidRPr="00705D58">
        <w:rPr>
          <w:sz w:val="20"/>
          <w:vertAlign w:val="subscript"/>
        </w:rPr>
        <w:t xml:space="preserve">INDF </w:t>
      </w:r>
      <w:r w:rsidRPr="00705D58">
        <w:rPr>
          <w:sz w:val="20"/>
        </w:rPr>
        <w:t>– 0.002463</w:t>
      </w:r>
      <w:r w:rsidRPr="00705D58">
        <w:rPr>
          <w:sz w:val="20"/>
          <w:vertAlign w:val="subscript"/>
        </w:rPr>
        <w:t>MLBI</w:t>
      </w:r>
      <w:r w:rsidRPr="00705D58">
        <w:rPr>
          <w:sz w:val="20"/>
        </w:rPr>
        <w:t xml:space="preserve"> + 0.002860</w:t>
      </w:r>
      <w:r w:rsidRPr="00705D58">
        <w:rPr>
          <w:sz w:val="20"/>
          <w:vertAlign w:val="subscript"/>
        </w:rPr>
        <w:t>MYOR</w:t>
      </w:r>
      <w:r w:rsidRPr="00705D58">
        <w:rPr>
          <w:sz w:val="20"/>
        </w:rPr>
        <w:t xml:space="preserve"> – 0.009877</w:t>
      </w:r>
      <w:r w:rsidRPr="00705D58">
        <w:rPr>
          <w:sz w:val="20"/>
          <w:vertAlign w:val="subscript"/>
        </w:rPr>
        <w:t>PSDN</w:t>
      </w:r>
      <w:r w:rsidRPr="00705D58">
        <w:rPr>
          <w:sz w:val="20"/>
        </w:rPr>
        <w:t xml:space="preserve"> + 0.000157</w:t>
      </w:r>
      <w:r w:rsidRPr="00705D58">
        <w:rPr>
          <w:sz w:val="20"/>
          <w:vertAlign w:val="subscript"/>
        </w:rPr>
        <w:t xml:space="preserve">ROTI </w:t>
      </w:r>
      <w:r w:rsidRPr="00705D58">
        <w:rPr>
          <w:sz w:val="20"/>
        </w:rPr>
        <w:t>+ 0.003486</w:t>
      </w:r>
      <w:r w:rsidRPr="00705D58">
        <w:rPr>
          <w:sz w:val="20"/>
          <w:vertAlign w:val="subscript"/>
        </w:rPr>
        <w:t xml:space="preserve">SKLT </w:t>
      </w:r>
      <w:r w:rsidRPr="00705D58">
        <w:rPr>
          <w:sz w:val="20"/>
        </w:rPr>
        <w:t>+ 0.002287</w:t>
      </w:r>
      <w:r w:rsidRPr="00705D58">
        <w:rPr>
          <w:sz w:val="20"/>
          <w:vertAlign w:val="subscript"/>
        </w:rPr>
        <w:t>STTP</w:t>
      </w:r>
      <w:r w:rsidRPr="00705D58">
        <w:rPr>
          <w:sz w:val="20"/>
        </w:rPr>
        <w:t xml:space="preserve"> – 0.000537</w:t>
      </w:r>
      <w:r w:rsidRPr="00705D58">
        <w:rPr>
          <w:sz w:val="20"/>
          <w:vertAlign w:val="subscript"/>
        </w:rPr>
        <w:t xml:space="preserve">UTLJ </w:t>
      </w:r>
      <w:r w:rsidRPr="00705D58">
        <w:rPr>
          <w:sz w:val="20"/>
        </w:rPr>
        <w:t>+ e</w:t>
      </w:r>
      <w:r w:rsidRPr="00705D58">
        <w:rPr>
          <w:sz w:val="20"/>
          <w:vertAlign w:val="subscript"/>
        </w:rPr>
        <w:t xml:space="preserve">it </w:t>
      </w:r>
    </w:p>
    <w:p w14:paraId="778AA796" w14:textId="77777777" w:rsidR="009E7581" w:rsidRPr="009A351F" w:rsidRDefault="009E7581" w:rsidP="009E7581">
      <w:pPr>
        <w:jc w:val="both"/>
        <w:rPr>
          <w:sz w:val="22"/>
          <w:szCs w:val="22"/>
        </w:rPr>
      </w:pPr>
    </w:p>
    <w:p w14:paraId="1D4C1A3C" w14:textId="22A095A1" w:rsidR="009E7581" w:rsidRPr="009A351F" w:rsidRDefault="00705D58" w:rsidP="009E7581">
      <w:pPr>
        <w:jc w:val="both"/>
        <w:rPr>
          <w:b/>
          <w:sz w:val="22"/>
          <w:szCs w:val="22"/>
        </w:rPr>
      </w:pPr>
      <w:r>
        <w:rPr>
          <w:b/>
          <w:sz w:val="22"/>
          <w:szCs w:val="22"/>
        </w:rPr>
        <w:t xml:space="preserve">4.4 </w:t>
      </w:r>
      <w:r w:rsidR="009E7581" w:rsidRPr="009A351F">
        <w:rPr>
          <w:b/>
          <w:sz w:val="22"/>
          <w:szCs w:val="22"/>
        </w:rPr>
        <w:t>Panel Data Processing Model Selection</w:t>
      </w:r>
    </w:p>
    <w:p w14:paraId="0B972347" w14:textId="77777777" w:rsidR="009E7581" w:rsidRPr="00705D58" w:rsidRDefault="009E7581" w:rsidP="009E7581">
      <w:pPr>
        <w:pStyle w:val="ListParagraph"/>
        <w:numPr>
          <w:ilvl w:val="0"/>
          <w:numId w:val="14"/>
        </w:numPr>
        <w:jc w:val="both"/>
        <w:rPr>
          <w:bCs/>
          <w:sz w:val="22"/>
          <w:szCs w:val="22"/>
        </w:rPr>
      </w:pPr>
      <w:r w:rsidRPr="00705D58">
        <w:rPr>
          <w:bCs/>
          <w:sz w:val="22"/>
          <w:szCs w:val="22"/>
        </w:rPr>
        <w:t>Chow test</w:t>
      </w:r>
    </w:p>
    <w:p w14:paraId="4031061A" w14:textId="46957613" w:rsidR="009E7581" w:rsidRPr="009A351F" w:rsidRDefault="002C6C1A" w:rsidP="009E7581">
      <w:pPr>
        <w:ind w:left="360"/>
        <w:jc w:val="both"/>
        <w:rPr>
          <w:sz w:val="22"/>
          <w:szCs w:val="22"/>
        </w:rPr>
      </w:pPr>
      <w:r w:rsidRPr="002C6C1A">
        <w:rPr>
          <w:sz w:val="22"/>
          <w:szCs w:val="22"/>
        </w:rPr>
        <w:t>The Eviews Output indicates a value of 0.0942 for the Prob. Cross-Section Chi-Square. In the region where 0.0942 &gt; 0.05, we can infer that H 0 is accepted and the model conforms to the Common Effect</w:t>
      </w:r>
      <w:r w:rsidR="009E7581" w:rsidRPr="009A351F">
        <w:rPr>
          <w:sz w:val="22"/>
          <w:szCs w:val="22"/>
        </w:rPr>
        <w:t>.</w:t>
      </w:r>
    </w:p>
    <w:p w14:paraId="33C3ECD6" w14:textId="77777777" w:rsidR="009E7581" w:rsidRPr="00705D58" w:rsidRDefault="009E7581" w:rsidP="009E7581">
      <w:pPr>
        <w:pStyle w:val="ListParagraph"/>
        <w:numPr>
          <w:ilvl w:val="0"/>
          <w:numId w:val="14"/>
        </w:numPr>
        <w:jc w:val="both"/>
        <w:rPr>
          <w:bCs/>
          <w:sz w:val="22"/>
          <w:szCs w:val="22"/>
        </w:rPr>
      </w:pPr>
      <w:r w:rsidRPr="00705D58">
        <w:rPr>
          <w:bCs/>
          <w:sz w:val="22"/>
          <w:szCs w:val="22"/>
        </w:rPr>
        <w:t>Hausman test</w:t>
      </w:r>
    </w:p>
    <w:p w14:paraId="7E619BF7" w14:textId="081B9F89" w:rsidR="009E7581" w:rsidRPr="009A351F" w:rsidRDefault="002C6C1A" w:rsidP="009E7581">
      <w:pPr>
        <w:ind w:left="360"/>
        <w:jc w:val="both"/>
        <w:rPr>
          <w:sz w:val="22"/>
          <w:szCs w:val="22"/>
        </w:rPr>
      </w:pPr>
      <w:r w:rsidRPr="002C6C1A">
        <w:rPr>
          <w:sz w:val="22"/>
          <w:szCs w:val="22"/>
        </w:rPr>
        <w:t>The Eviews output indicates a probability of 0.0886 for a random cross-section. In the case when 0.0886 &gt; 0.05, we know that if H 0 is accepted, the model will adhere to the Random Effects distribution</w:t>
      </w:r>
      <w:r w:rsidR="009E7581" w:rsidRPr="009A351F">
        <w:rPr>
          <w:sz w:val="22"/>
          <w:szCs w:val="22"/>
        </w:rPr>
        <w:t>.</w:t>
      </w:r>
    </w:p>
    <w:p w14:paraId="01A944DA" w14:textId="77777777" w:rsidR="009E7581" w:rsidRPr="00705D58" w:rsidRDefault="009E7581" w:rsidP="009E7581">
      <w:pPr>
        <w:pStyle w:val="ListParagraph"/>
        <w:numPr>
          <w:ilvl w:val="0"/>
          <w:numId w:val="14"/>
        </w:numPr>
        <w:jc w:val="both"/>
        <w:rPr>
          <w:bCs/>
          <w:sz w:val="22"/>
          <w:szCs w:val="22"/>
        </w:rPr>
      </w:pPr>
      <w:r w:rsidRPr="00705D58">
        <w:rPr>
          <w:bCs/>
          <w:sz w:val="22"/>
          <w:szCs w:val="22"/>
        </w:rPr>
        <w:t>Lagrange Multiplier Test</w:t>
      </w:r>
    </w:p>
    <w:p w14:paraId="55C304E2" w14:textId="3DD19734" w:rsidR="009E7581" w:rsidRPr="009A351F" w:rsidRDefault="002C6C1A" w:rsidP="009E7581">
      <w:pPr>
        <w:ind w:left="360"/>
        <w:jc w:val="both"/>
        <w:rPr>
          <w:sz w:val="22"/>
          <w:szCs w:val="22"/>
        </w:rPr>
      </w:pPr>
      <w:r w:rsidRPr="002C6C1A">
        <w:rPr>
          <w:sz w:val="22"/>
          <w:szCs w:val="22"/>
        </w:rPr>
        <w:t>The Eviews output indicates a Breuch-Pagan value of 0.0470, which agrees with previous research. If the value of 0.0470 is less than 0.05, then the null hypothesis H 0 is rejected and the Random Effect model is used. It follows that the Random Effect Test is superior for scientific study</w:t>
      </w:r>
      <w:r w:rsidR="009E7581" w:rsidRPr="009A351F">
        <w:rPr>
          <w:sz w:val="22"/>
          <w:szCs w:val="22"/>
        </w:rPr>
        <w:t>.</w:t>
      </w:r>
    </w:p>
    <w:p w14:paraId="359F39F4" w14:textId="77777777" w:rsidR="009E7581" w:rsidRPr="009A351F" w:rsidRDefault="009E7581" w:rsidP="009E7581">
      <w:pPr>
        <w:jc w:val="both"/>
        <w:rPr>
          <w:sz w:val="22"/>
          <w:szCs w:val="22"/>
        </w:rPr>
      </w:pPr>
    </w:p>
    <w:p w14:paraId="387F2181" w14:textId="10A4708E" w:rsidR="009E7581" w:rsidRPr="009A351F" w:rsidRDefault="00705D58" w:rsidP="009E7581">
      <w:pPr>
        <w:jc w:val="both"/>
        <w:rPr>
          <w:b/>
          <w:sz w:val="22"/>
          <w:szCs w:val="22"/>
        </w:rPr>
      </w:pPr>
      <w:r>
        <w:rPr>
          <w:b/>
          <w:sz w:val="22"/>
          <w:szCs w:val="22"/>
        </w:rPr>
        <w:t xml:space="preserve">4.5 </w:t>
      </w:r>
      <w:r w:rsidR="009E7581" w:rsidRPr="009A351F">
        <w:rPr>
          <w:b/>
          <w:sz w:val="22"/>
          <w:szCs w:val="22"/>
        </w:rPr>
        <w:t>Model Interpretation</w:t>
      </w:r>
    </w:p>
    <w:p w14:paraId="00351FDE" w14:textId="5AF4FD71" w:rsidR="009E7581" w:rsidRDefault="002C6C1A" w:rsidP="00705D58">
      <w:pPr>
        <w:ind w:firstLine="567"/>
        <w:jc w:val="both"/>
        <w:rPr>
          <w:sz w:val="22"/>
          <w:szCs w:val="22"/>
        </w:rPr>
      </w:pPr>
      <w:r w:rsidRPr="002C6C1A">
        <w:rPr>
          <w:sz w:val="22"/>
          <w:szCs w:val="22"/>
        </w:rPr>
        <w:t>Panel data regression computations have shown that the random effect model is preferable for use in scientific inquiry. The subsequent are the estimated outcomes from employing a random effects model</w:t>
      </w:r>
      <w:r w:rsidR="009E7581" w:rsidRPr="009A351F">
        <w:rPr>
          <w:sz w:val="22"/>
          <w:szCs w:val="22"/>
        </w:rPr>
        <w:t>:</w:t>
      </w:r>
    </w:p>
    <w:p w14:paraId="7D886406" w14:textId="77777777" w:rsidR="00705D58" w:rsidRPr="009A351F" w:rsidRDefault="00705D58" w:rsidP="00705D58">
      <w:pPr>
        <w:ind w:firstLine="567"/>
        <w:jc w:val="both"/>
        <w:rPr>
          <w:sz w:val="22"/>
          <w:szCs w:val="22"/>
        </w:rPr>
      </w:pPr>
    </w:p>
    <w:p w14:paraId="11143E80" w14:textId="747236EF" w:rsidR="009E7581" w:rsidRDefault="009E7581" w:rsidP="00705D58">
      <w:pPr>
        <w:jc w:val="both"/>
        <w:rPr>
          <w:sz w:val="20"/>
          <w:vertAlign w:val="subscript"/>
        </w:rPr>
      </w:pPr>
      <w:r w:rsidRPr="00705D58">
        <w:rPr>
          <w:sz w:val="20"/>
        </w:rPr>
        <w:t>Y</w:t>
      </w:r>
      <w:r w:rsidRPr="00705D58">
        <w:rPr>
          <w:sz w:val="20"/>
          <w:vertAlign w:val="subscript"/>
        </w:rPr>
        <w:t>it</w:t>
      </w:r>
      <w:r w:rsidRPr="00705D58">
        <w:rPr>
          <w:sz w:val="20"/>
        </w:rPr>
        <w:t xml:space="preserve"> = 0.452436 + 0.898515</w:t>
      </w:r>
      <w:r w:rsidRPr="00705D58">
        <w:rPr>
          <w:sz w:val="20"/>
          <w:vertAlign w:val="subscript"/>
        </w:rPr>
        <w:t xml:space="preserve">X1 </w:t>
      </w:r>
      <w:r w:rsidRPr="00705D58">
        <w:rPr>
          <w:sz w:val="20"/>
        </w:rPr>
        <w:t>+ 0.146254</w:t>
      </w:r>
      <w:r w:rsidRPr="00705D58">
        <w:rPr>
          <w:sz w:val="20"/>
          <w:vertAlign w:val="subscript"/>
        </w:rPr>
        <w:t>X2</w:t>
      </w:r>
      <w:r w:rsidRPr="00705D58">
        <w:rPr>
          <w:sz w:val="20"/>
        </w:rPr>
        <w:t xml:space="preserve"> – 0.063450</w:t>
      </w:r>
      <w:r w:rsidRPr="00705D58">
        <w:rPr>
          <w:sz w:val="20"/>
          <w:vertAlign w:val="subscript"/>
        </w:rPr>
        <w:t>X3</w:t>
      </w:r>
      <w:r w:rsidRPr="00705D58">
        <w:rPr>
          <w:sz w:val="20"/>
        </w:rPr>
        <w:t xml:space="preserve"> – 0.900454</w:t>
      </w:r>
      <w:r w:rsidRPr="00705D58">
        <w:rPr>
          <w:sz w:val="20"/>
          <w:vertAlign w:val="subscript"/>
        </w:rPr>
        <w:t>x4</w:t>
      </w:r>
      <w:r w:rsidRPr="00705D58">
        <w:rPr>
          <w:sz w:val="20"/>
        </w:rPr>
        <w:t xml:space="preserve"> + 0.004570</w:t>
      </w:r>
      <w:r w:rsidRPr="00705D58">
        <w:rPr>
          <w:sz w:val="20"/>
          <w:vertAlign w:val="subscript"/>
        </w:rPr>
        <w:t>CEKA</w:t>
      </w:r>
      <w:r w:rsidRPr="00705D58">
        <w:rPr>
          <w:sz w:val="20"/>
        </w:rPr>
        <w:t xml:space="preserve"> – 0.000977</w:t>
      </w:r>
      <w:r w:rsidRPr="00705D58">
        <w:rPr>
          <w:sz w:val="20"/>
          <w:vertAlign w:val="subscript"/>
        </w:rPr>
        <w:t>DLTA</w:t>
      </w:r>
      <w:r w:rsidRPr="00705D58">
        <w:rPr>
          <w:sz w:val="20"/>
        </w:rPr>
        <w:t xml:space="preserve"> – 0.000655</w:t>
      </w:r>
      <w:r w:rsidRPr="00705D58">
        <w:rPr>
          <w:sz w:val="20"/>
          <w:vertAlign w:val="subscript"/>
        </w:rPr>
        <w:t xml:space="preserve">ICBP </w:t>
      </w:r>
      <w:r w:rsidRPr="00705D58">
        <w:rPr>
          <w:sz w:val="20"/>
        </w:rPr>
        <w:t>+ 0.001148</w:t>
      </w:r>
      <w:r w:rsidRPr="00705D58">
        <w:rPr>
          <w:sz w:val="20"/>
          <w:vertAlign w:val="subscript"/>
        </w:rPr>
        <w:t xml:space="preserve">INDF </w:t>
      </w:r>
      <w:r w:rsidRPr="00705D58">
        <w:rPr>
          <w:sz w:val="20"/>
        </w:rPr>
        <w:t>– 0.002463</w:t>
      </w:r>
      <w:r w:rsidRPr="00705D58">
        <w:rPr>
          <w:sz w:val="20"/>
          <w:vertAlign w:val="subscript"/>
        </w:rPr>
        <w:t>MLBI</w:t>
      </w:r>
      <w:r w:rsidRPr="00705D58">
        <w:rPr>
          <w:sz w:val="20"/>
        </w:rPr>
        <w:t xml:space="preserve"> + 0.002860</w:t>
      </w:r>
      <w:r w:rsidRPr="00705D58">
        <w:rPr>
          <w:sz w:val="20"/>
          <w:vertAlign w:val="subscript"/>
        </w:rPr>
        <w:t>MYOR</w:t>
      </w:r>
      <w:r w:rsidRPr="00705D58">
        <w:rPr>
          <w:sz w:val="20"/>
        </w:rPr>
        <w:t xml:space="preserve"> – 0.009877</w:t>
      </w:r>
      <w:r w:rsidRPr="00705D58">
        <w:rPr>
          <w:sz w:val="20"/>
          <w:vertAlign w:val="subscript"/>
        </w:rPr>
        <w:t>PSDN</w:t>
      </w:r>
      <w:r w:rsidRPr="00705D58">
        <w:rPr>
          <w:sz w:val="20"/>
        </w:rPr>
        <w:t xml:space="preserve"> + 0.000157</w:t>
      </w:r>
      <w:r w:rsidRPr="00705D58">
        <w:rPr>
          <w:sz w:val="20"/>
          <w:vertAlign w:val="subscript"/>
        </w:rPr>
        <w:t xml:space="preserve">ROTI </w:t>
      </w:r>
      <w:r w:rsidRPr="00705D58">
        <w:rPr>
          <w:sz w:val="20"/>
        </w:rPr>
        <w:t>+ 0.003486</w:t>
      </w:r>
      <w:r w:rsidRPr="00705D58">
        <w:rPr>
          <w:sz w:val="20"/>
          <w:vertAlign w:val="subscript"/>
        </w:rPr>
        <w:t xml:space="preserve">SKLT </w:t>
      </w:r>
      <w:r w:rsidRPr="00705D58">
        <w:rPr>
          <w:sz w:val="20"/>
        </w:rPr>
        <w:t>+ 0.002287</w:t>
      </w:r>
      <w:r w:rsidRPr="00705D58">
        <w:rPr>
          <w:sz w:val="20"/>
          <w:vertAlign w:val="subscript"/>
        </w:rPr>
        <w:t>STTP</w:t>
      </w:r>
      <w:r w:rsidRPr="00705D58">
        <w:rPr>
          <w:sz w:val="20"/>
        </w:rPr>
        <w:t xml:space="preserve"> – 0.000537</w:t>
      </w:r>
      <w:r w:rsidRPr="00705D58">
        <w:rPr>
          <w:sz w:val="20"/>
          <w:vertAlign w:val="subscript"/>
        </w:rPr>
        <w:t xml:space="preserve">UTLJ </w:t>
      </w:r>
      <w:r w:rsidRPr="00705D58">
        <w:rPr>
          <w:sz w:val="20"/>
        </w:rPr>
        <w:t>+ e</w:t>
      </w:r>
      <w:r w:rsidRPr="00705D58">
        <w:rPr>
          <w:sz w:val="20"/>
          <w:vertAlign w:val="subscript"/>
        </w:rPr>
        <w:t xml:space="preserve">it </w:t>
      </w:r>
    </w:p>
    <w:p w14:paraId="5CB2594C" w14:textId="77777777" w:rsidR="00705D58" w:rsidRPr="00705D58" w:rsidRDefault="00705D58" w:rsidP="00705D58">
      <w:pPr>
        <w:jc w:val="both"/>
        <w:rPr>
          <w:sz w:val="20"/>
          <w:vertAlign w:val="subscript"/>
        </w:rPr>
      </w:pPr>
    </w:p>
    <w:p w14:paraId="50AE667A" w14:textId="03F0AD27" w:rsidR="009E7581" w:rsidRPr="009A351F" w:rsidRDefault="00EE7308" w:rsidP="00705D58">
      <w:pPr>
        <w:ind w:firstLine="567"/>
        <w:jc w:val="both"/>
        <w:rPr>
          <w:sz w:val="22"/>
          <w:szCs w:val="22"/>
        </w:rPr>
      </w:pPr>
      <w:r w:rsidRPr="00EE7308">
        <w:rPr>
          <w:sz w:val="22"/>
          <w:szCs w:val="22"/>
        </w:rPr>
        <w:t>The equation can be interpreted as follows</w:t>
      </w:r>
      <w:r w:rsidR="009E7581" w:rsidRPr="009A351F">
        <w:rPr>
          <w:sz w:val="22"/>
          <w:szCs w:val="22"/>
        </w:rPr>
        <w:t>:</w:t>
      </w:r>
    </w:p>
    <w:p w14:paraId="4D9E4472" w14:textId="00B9F121" w:rsidR="009E7581" w:rsidRPr="009A351F" w:rsidRDefault="009E7581" w:rsidP="009E7581">
      <w:pPr>
        <w:pStyle w:val="ListParagraph"/>
        <w:numPr>
          <w:ilvl w:val="0"/>
          <w:numId w:val="16"/>
        </w:numPr>
        <w:jc w:val="both"/>
        <w:rPr>
          <w:sz w:val="22"/>
          <w:szCs w:val="22"/>
        </w:rPr>
      </w:pPr>
      <w:r w:rsidRPr="009A351F">
        <w:rPr>
          <w:sz w:val="22"/>
          <w:szCs w:val="22"/>
        </w:rPr>
        <w:t>The constant value in the equation is 0.452436</w:t>
      </w:r>
      <w:r w:rsidRPr="009A351F">
        <w:rPr>
          <w:b/>
          <w:sz w:val="22"/>
          <w:szCs w:val="22"/>
        </w:rPr>
        <w:t xml:space="preserve"> </w:t>
      </w:r>
      <w:r w:rsidRPr="009A351F">
        <w:rPr>
          <w:sz w:val="22"/>
          <w:szCs w:val="22"/>
        </w:rPr>
        <w:t xml:space="preserve">shows that when all independent variables (Sales Growth, Profitability, Liquidity and </w:t>
      </w:r>
      <w:r w:rsidRPr="00FF618E">
        <w:rPr>
          <w:iCs/>
          <w:sz w:val="22"/>
          <w:szCs w:val="22"/>
        </w:rPr>
        <w:t>Leverage</w:t>
      </w:r>
      <w:r w:rsidRPr="009A351F">
        <w:rPr>
          <w:sz w:val="22"/>
          <w:szCs w:val="22"/>
        </w:rPr>
        <w:t xml:space="preserve">) are considered zero, the profit growth value is 0.452436 </w:t>
      </w:r>
      <w:r w:rsidRPr="009A351F">
        <w:rPr>
          <w:b/>
          <w:sz w:val="22"/>
          <w:szCs w:val="22"/>
        </w:rPr>
        <w:t>.</w:t>
      </w:r>
    </w:p>
    <w:p w14:paraId="4BB4AB92" w14:textId="77777777" w:rsidR="009E7581" w:rsidRPr="009A351F" w:rsidRDefault="009E7581" w:rsidP="009E7581">
      <w:pPr>
        <w:pStyle w:val="ListParagraph"/>
        <w:numPr>
          <w:ilvl w:val="0"/>
          <w:numId w:val="16"/>
        </w:numPr>
        <w:jc w:val="both"/>
        <w:rPr>
          <w:sz w:val="22"/>
          <w:szCs w:val="22"/>
        </w:rPr>
      </w:pPr>
      <w:r w:rsidRPr="009A351F">
        <w:rPr>
          <w:sz w:val="22"/>
          <w:szCs w:val="22"/>
        </w:rPr>
        <w:t>The regression coefficient value of the Sales Growth variable shows a result of 0.898515, meaning that if Sales Growth has increased by 1% while the other independent variables are considered constant, profit growth will increase by 0.898515.</w:t>
      </w:r>
    </w:p>
    <w:p w14:paraId="6D26D7ED" w14:textId="77777777" w:rsidR="009E7581" w:rsidRPr="009A351F" w:rsidRDefault="009E7581" w:rsidP="009E7581">
      <w:pPr>
        <w:pStyle w:val="ListParagraph"/>
        <w:numPr>
          <w:ilvl w:val="0"/>
          <w:numId w:val="16"/>
        </w:numPr>
        <w:jc w:val="both"/>
        <w:rPr>
          <w:sz w:val="22"/>
          <w:szCs w:val="22"/>
        </w:rPr>
      </w:pPr>
      <w:r w:rsidRPr="009A351F">
        <w:rPr>
          <w:sz w:val="22"/>
          <w:szCs w:val="22"/>
        </w:rPr>
        <w:t>Profitability variable regression coefficient value shows a result of 0.146254, meaning that if Profitability has increased by 1% while the other independent variables are considered constant, profit growth will increase by 0.146254.</w:t>
      </w:r>
    </w:p>
    <w:p w14:paraId="0636A1C7" w14:textId="77777777" w:rsidR="009E7581" w:rsidRPr="009A351F" w:rsidRDefault="009E7581" w:rsidP="009E7581">
      <w:pPr>
        <w:pStyle w:val="ListParagraph"/>
        <w:numPr>
          <w:ilvl w:val="0"/>
          <w:numId w:val="16"/>
        </w:numPr>
        <w:jc w:val="both"/>
        <w:rPr>
          <w:sz w:val="22"/>
          <w:szCs w:val="22"/>
        </w:rPr>
      </w:pPr>
      <w:r w:rsidRPr="009A351F">
        <w:rPr>
          <w:sz w:val="22"/>
          <w:szCs w:val="22"/>
        </w:rPr>
        <w:t>The regression coefficient value of the Liquidity variable shows the result - 0.063450, meaning that if Liquidity has increased by 1% while the other independent variables are considered constant, profit growth will decrease by 0.063450.</w:t>
      </w:r>
    </w:p>
    <w:p w14:paraId="78E8FA60" w14:textId="77777777" w:rsidR="009E7581" w:rsidRPr="009A351F" w:rsidRDefault="009E7581" w:rsidP="009E7581">
      <w:pPr>
        <w:pStyle w:val="ListParagraph"/>
        <w:numPr>
          <w:ilvl w:val="0"/>
          <w:numId w:val="16"/>
        </w:numPr>
        <w:jc w:val="both"/>
        <w:rPr>
          <w:sz w:val="22"/>
          <w:szCs w:val="22"/>
        </w:rPr>
      </w:pPr>
      <w:r w:rsidRPr="009A351F">
        <w:rPr>
          <w:sz w:val="22"/>
          <w:szCs w:val="22"/>
        </w:rPr>
        <w:lastRenderedPageBreak/>
        <w:t xml:space="preserve">The regression coefficient value of the </w:t>
      </w:r>
      <w:r w:rsidRPr="009A351F">
        <w:rPr>
          <w:iCs/>
          <w:sz w:val="22"/>
          <w:szCs w:val="22"/>
        </w:rPr>
        <w:t>Leverage variable</w:t>
      </w:r>
      <w:r w:rsidRPr="009A351F">
        <w:rPr>
          <w:i/>
          <w:sz w:val="22"/>
          <w:szCs w:val="22"/>
        </w:rPr>
        <w:t xml:space="preserve"> </w:t>
      </w:r>
      <w:r w:rsidRPr="009A351F">
        <w:rPr>
          <w:sz w:val="22"/>
          <w:szCs w:val="22"/>
        </w:rPr>
        <w:t xml:space="preserve">shows the result – 0.900454, meaning that if </w:t>
      </w:r>
      <w:r w:rsidRPr="009A351F">
        <w:rPr>
          <w:iCs/>
          <w:sz w:val="22"/>
          <w:szCs w:val="22"/>
        </w:rPr>
        <w:t>Leverage</w:t>
      </w:r>
      <w:r w:rsidRPr="009A351F">
        <w:rPr>
          <w:i/>
          <w:sz w:val="22"/>
          <w:szCs w:val="22"/>
        </w:rPr>
        <w:t xml:space="preserve"> </w:t>
      </w:r>
      <w:r w:rsidRPr="009A351F">
        <w:rPr>
          <w:sz w:val="22"/>
          <w:szCs w:val="22"/>
        </w:rPr>
        <w:t>increases by 1% while other independent variables are considered constant, profit growth will decrease by 0.900454 .</w:t>
      </w:r>
    </w:p>
    <w:p w14:paraId="50FD260B" w14:textId="77777777" w:rsidR="00705D58" w:rsidRDefault="00705D58" w:rsidP="009E7581">
      <w:pPr>
        <w:jc w:val="both"/>
        <w:rPr>
          <w:b/>
          <w:sz w:val="22"/>
          <w:szCs w:val="22"/>
        </w:rPr>
      </w:pPr>
    </w:p>
    <w:p w14:paraId="1CDA1FBA" w14:textId="6A0F727A" w:rsidR="009E7581" w:rsidRPr="009A351F" w:rsidRDefault="00705D58" w:rsidP="009E7581">
      <w:pPr>
        <w:jc w:val="both"/>
        <w:rPr>
          <w:b/>
          <w:sz w:val="22"/>
          <w:szCs w:val="22"/>
        </w:rPr>
      </w:pPr>
      <w:r>
        <w:rPr>
          <w:b/>
          <w:sz w:val="22"/>
          <w:szCs w:val="22"/>
        </w:rPr>
        <w:t xml:space="preserve">4.6 </w:t>
      </w:r>
      <w:r w:rsidR="009E7581" w:rsidRPr="009A351F">
        <w:rPr>
          <w:b/>
          <w:sz w:val="22"/>
          <w:szCs w:val="22"/>
        </w:rPr>
        <w:t>Coefficient of Determination</w:t>
      </w:r>
    </w:p>
    <w:p w14:paraId="76FFD6F1" w14:textId="77777777" w:rsidR="009E7581" w:rsidRPr="009A351F" w:rsidRDefault="009E7581" w:rsidP="009E7581">
      <w:pPr>
        <w:jc w:val="center"/>
        <w:rPr>
          <w:b/>
          <w:sz w:val="22"/>
          <w:szCs w:val="22"/>
        </w:rPr>
      </w:pPr>
      <w:r w:rsidRPr="009A351F">
        <w:rPr>
          <w:b/>
          <w:sz w:val="22"/>
          <w:szCs w:val="22"/>
        </w:rPr>
        <w:t>Table 7. Coefficient of Determination Results</w:t>
      </w:r>
    </w:p>
    <w:p w14:paraId="1AAD8A96" w14:textId="466BAD0C" w:rsidR="00705D58" w:rsidRDefault="00705D58" w:rsidP="004B5197">
      <w:pPr>
        <w:rPr>
          <w:sz w:val="22"/>
          <w:szCs w:val="22"/>
        </w:rPr>
      </w:pPr>
      <w:r w:rsidRPr="00705D58">
        <w:rPr>
          <w:noProof/>
        </w:rPr>
        <w:drawing>
          <wp:inline distT="0" distB="0" distL="0" distR="0" wp14:anchorId="6658C6AC" wp14:editId="2C312459">
            <wp:extent cx="2775770" cy="7073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791" r="16067" b="17667"/>
                    <a:stretch/>
                  </pic:blipFill>
                  <pic:spPr bwMode="auto">
                    <a:xfrm>
                      <a:off x="0" y="0"/>
                      <a:ext cx="2793734" cy="711944"/>
                    </a:xfrm>
                    <a:prstGeom prst="rect">
                      <a:avLst/>
                    </a:prstGeom>
                    <a:noFill/>
                    <a:ln>
                      <a:noFill/>
                    </a:ln>
                    <a:extLst>
                      <a:ext uri="{53640926-AAD7-44D8-BBD7-CCE9431645EC}">
                        <a14:shadowObscured xmlns:a14="http://schemas.microsoft.com/office/drawing/2010/main"/>
                      </a:ext>
                    </a:extLst>
                  </pic:spPr>
                </pic:pic>
              </a:graphicData>
            </a:graphic>
          </wp:inline>
        </w:drawing>
      </w:r>
    </w:p>
    <w:p w14:paraId="066D48AC" w14:textId="5C469421" w:rsidR="009E7581" w:rsidRPr="00855BFC" w:rsidRDefault="009E7581" w:rsidP="004B5197">
      <w:pPr>
        <w:rPr>
          <w:sz w:val="20"/>
        </w:rPr>
      </w:pPr>
      <w:r w:rsidRPr="00855BFC">
        <w:rPr>
          <w:sz w:val="20"/>
        </w:rPr>
        <w:t>Source: Eviews Output</w:t>
      </w:r>
    </w:p>
    <w:p w14:paraId="300D7632" w14:textId="77777777" w:rsidR="004B5197" w:rsidRDefault="004B5197" w:rsidP="009E7581">
      <w:pPr>
        <w:ind w:firstLine="720"/>
        <w:jc w:val="both"/>
        <w:rPr>
          <w:sz w:val="22"/>
          <w:szCs w:val="22"/>
        </w:rPr>
      </w:pPr>
    </w:p>
    <w:p w14:paraId="2989A808" w14:textId="0E10517A" w:rsidR="009E7581" w:rsidRDefault="00EE7308" w:rsidP="009E7581">
      <w:pPr>
        <w:ind w:firstLine="720"/>
        <w:jc w:val="both"/>
        <w:rPr>
          <w:sz w:val="22"/>
          <w:szCs w:val="22"/>
        </w:rPr>
      </w:pPr>
      <w:r w:rsidRPr="00EE7308">
        <w:rPr>
          <w:sz w:val="22"/>
          <w:szCs w:val="22"/>
        </w:rPr>
        <w:t>Results from the Coefficient of Determination Test are shown in table 7 via the Adjusted R-squared value, which is 0.660082 (66.0082%). Therefore, the independent factors (Sales Growth, Profitability, Liquidity, and Leverage) in the model explain 66.0082% of the variation in the dependent variable (profit growth), whereas the remaining 33.9918% is impacted by other variables</w:t>
      </w:r>
      <w:r w:rsidR="009E7581" w:rsidRPr="009A351F">
        <w:rPr>
          <w:sz w:val="22"/>
          <w:szCs w:val="22"/>
        </w:rPr>
        <w:t>.</w:t>
      </w:r>
    </w:p>
    <w:p w14:paraId="2B41D543" w14:textId="77777777" w:rsidR="004B5197" w:rsidRPr="009A351F" w:rsidRDefault="004B5197" w:rsidP="009E7581">
      <w:pPr>
        <w:ind w:firstLine="720"/>
        <w:jc w:val="both"/>
        <w:rPr>
          <w:sz w:val="22"/>
          <w:szCs w:val="22"/>
        </w:rPr>
      </w:pPr>
    </w:p>
    <w:p w14:paraId="21000191" w14:textId="1B3BC051" w:rsidR="009E7581" w:rsidRPr="009A351F" w:rsidRDefault="00F7365E" w:rsidP="009E7581">
      <w:pPr>
        <w:jc w:val="both"/>
        <w:rPr>
          <w:b/>
          <w:sz w:val="22"/>
          <w:szCs w:val="22"/>
        </w:rPr>
      </w:pPr>
      <w:r>
        <w:rPr>
          <w:b/>
          <w:sz w:val="22"/>
          <w:szCs w:val="22"/>
        </w:rPr>
        <w:t xml:space="preserve">4.7 </w:t>
      </w:r>
      <w:r w:rsidR="009E7581" w:rsidRPr="009A351F">
        <w:rPr>
          <w:b/>
          <w:sz w:val="22"/>
          <w:szCs w:val="22"/>
        </w:rPr>
        <w:t>Hypothesis testing</w:t>
      </w:r>
    </w:p>
    <w:p w14:paraId="1848D62B" w14:textId="77777777" w:rsidR="009E7581" w:rsidRPr="009A351F" w:rsidRDefault="009E7581" w:rsidP="009E7581">
      <w:pPr>
        <w:pStyle w:val="ListParagraph"/>
        <w:numPr>
          <w:ilvl w:val="0"/>
          <w:numId w:val="15"/>
        </w:numPr>
        <w:jc w:val="both"/>
        <w:rPr>
          <w:b/>
          <w:sz w:val="22"/>
          <w:szCs w:val="22"/>
        </w:rPr>
      </w:pPr>
      <w:r w:rsidRPr="009A351F">
        <w:rPr>
          <w:b/>
          <w:sz w:val="22"/>
          <w:szCs w:val="22"/>
        </w:rPr>
        <w:t>Simultaneous Test (F Test)</w:t>
      </w:r>
    </w:p>
    <w:p w14:paraId="3D4CF5D4" w14:textId="77777777" w:rsidR="009E7581" w:rsidRPr="009A351F" w:rsidRDefault="009E7581" w:rsidP="009E7581">
      <w:pPr>
        <w:pStyle w:val="ListParagraph"/>
        <w:ind w:left="0"/>
        <w:jc w:val="center"/>
        <w:rPr>
          <w:b/>
          <w:sz w:val="22"/>
          <w:szCs w:val="22"/>
        </w:rPr>
      </w:pPr>
      <w:r w:rsidRPr="009A351F">
        <w:rPr>
          <w:b/>
          <w:sz w:val="22"/>
          <w:szCs w:val="22"/>
        </w:rPr>
        <w:t>Table 8. Simultaneous Test Results</w:t>
      </w:r>
    </w:p>
    <w:p w14:paraId="2948BDCA" w14:textId="77777777" w:rsidR="003F6A8D" w:rsidRDefault="003F6A8D" w:rsidP="003F6A8D">
      <w:pPr>
        <w:rPr>
          <w:sz w:val="22"/>
          <w:szCs w:val="22"/>
        </w:rPr>
      </w:pPr>
      <w:r w:rsidRPr="003F6A8D">
        <w:rPr>
          <w:noProof/>
        </w:rPr>
        <w:drawing>
          <wp:inline distT="0" distB="0" distL="0" distR="0" wp14:anchorId="24B14394" wp14:editId="77A48536">
            <wp:extent cx="3007791" cy="7076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066" r="15305" b="13795"/>
                    <a:stretch/>
                  </pic:blipFill>
                  <pic:spPr bwMode="auto">
                    <a:xfrm>
                      <a:off x="0" y="0"/>
                      <a:ext cx="3021682" cy="710934"/>
                    </a:xfrm>
                    <a:prstGeom prst="rect">
                      <a:avLst/>
                    </a:prstGeom>
                    <a:noFill/>
                    <a:ln>
                      <a:noFill/>
                    </a:ln>
                    <a:extLst>
                      <a:ext uri="{53640926-AAD7-44D8-BBD7-CCE9431645EC}">
                        <a14:shadowObscured xmlns:a14="http://schemas.microsoft.com/office/drawing/2010/main"/>
                      </a:ext>
                    </a:extLst>
                  </pic:spPr>
                </pic:pic>
              </a:graphicData>
            </a:graphic>
          </wp:inline>
        </w:drawing>
      </w:r>
    </w:p>
    <w:p w14:paraId="2E10189E" w14:textId="19F8DDB6" w:rsidR="009E7581" w:rsidRDefault="009E7581" w:rsidP="003F6A8D">
      <w:pPr>
        <w:rPr>
          <w:sz w:val="20"/>
        </w:rPr>
      </w:pPr>
      <w:r w:rsidRPr="003F6A8D">
        <w:rPr>
          <w:sz w:val="20"/>
        </w:rPr>
        <w:t>Source: Eviews Output</w:t>
      </w:r>
      <w:r w:rsidR="003F6A8D">
        <w:rPr>
          <w:sz w:val="20"/>
        </w:rPr>
        <w:t xml:space="preserve"> </w:t>
      </w:r>
    </w:p>
    <w:p w14:paraId="7B5E3CE5" w14:textId="77777777" w:rsidR="003F6A8D" w:rsidRPr="003F6A8D" w:rsidRDefault="003F6A8D" w:rsidP="003F6A8D">
      <w:pPr>
        <w:rPr>
          <w:sz w:val="20"/>
        </w:rPr>
      </w:pPr>
    </w:p>
    <w:p w14:paraId="3A8D2264" w14:textId="76543CE0" w:rsidR="009E7581" w:rsidRPr="009A351F" w:rsidRDefault="00EE7308" w:rsidP="009E7581">
      <w:pPr>
        <w:ind w:firstLine="720"/>
        <w:jc w:val="both"/>
        <w:rPr>
          <w:sz w:val="22"/>
          <w:szCs w:val="22"/>
        </w:rPr>
      </w:pPr>
      <w:r w:rsidRPr="00EE7308">
        <w:rPr>
          <w:sz w:val="22"/>
          <w:szCs w:val="22"/>
        </w:rPr>
        <w:t>Table 8 shows the outcomes of many tests run at the same time, yielding an F-Statistic of 48,57628 and an F-table of 2.47. If we look at the F-Statistics table, we see that the value is 48,57628 &gt; 2.47, which corresponds to a probability of 0.000000 0.05, ruling out the null hypothesis and accepting the alternative hypothesis (Ha). Therefore, it follows that profit growth is significantly impacted by a number of factors, including but not limited to sales growth, profitability, liquidity, and leverage</w:t>
      </w:r>
      <w:r w:rsidR="009E7581" w:rsidRPr="009A351F">
        <w:rPr>
          <w:sz w:val="22"/>
          <w:szCs w:val="22"/>
        </w:rPr>
        <w:t>.</w:t>
      </w:r>
    </w:p>
    <w:p w14:paraId="536D2A9F" w14:textId="77777777" w:rsidR="009E7581" w:rsidRPr="009A351F" w:rsidRDefault="009E7581" w:rsidP="009E7581">
      <w:pPr>
        <w:ind w:firstLine="720"/>
        <w:jc w:val="both"/>
        <w:rPr>
          <w:sz w:val="22"/>
          <w:szCs w:val="22"/>
        </w:rPr>
      </w:pPr>
    </w:p>
    <w:p w14:paraId="29BA69A0" w14:textId="77777777" w:rsidR="009E7581" w:rsidRPr="009A351F" w:rsidRDefault="009E7581" w:rsidP="009E7581">
      <w:pPr>
        <w:pStyle w:val="ListParagraph"/>
        <w:numPr>
          <w:ilvl w:val="0"/>
          <w:numId w:val="15"/>
        </w:numPr>
        <w:jc w:val="both"/>
        <w:rPr>
          <w:b/>
          <w:sz w:val="22"/>
          <w:szCs w:val="22"/>
        </w:rPr>
      </w:pPr>
      <w:r w:rsidRPr="009A351F">
        <w:rPr>
          <w:b/>
          <w:sz w:val="22"/>
          <w:szCs w:val="22"/>
        </w:rPr>
        <w:t>Partial Test (t Test)</w:t>
      </w:r>
    </w:p>
    <w:p w14:paraId="6F72EA6D" w14:textId="77777777" w:rsidR="009E7581" w:rsidRPr="009A351F" w:rsidRDefault="009E7581" w:rsidP="009E7581">
      <w:pPr>
        <w:pStyle w:val="ListParagraph"/>
        <w:ind w:left="0"/>
        <w:jc w:val="center"/>
        <w:rPr>
          <w:b/>
          <w:sz w:val="22"/>
          <w:szCs w:val="22"/>
        </w:rPr>
      </w:pPr>
      <w:r w:rsidRPr="009A351F">
        <w:rPr>
          <w:b/>
          <w:sz w:val="22"/>
          <w:szCs w:val="22"/>
        </w:rPr>
        <w:t>Table 9. Partial Test Results</w:t>
      </w:r>
    </w:p>
    <w:p w14:paraId="1110BCD2" w14:textId="43C69A19" w:rsidR="009E7581" w:rsidRPr="00855BFC" w:rsidRDefault="00855BFC" w:rsidP="004B5197">
      <w:pPr>
        <w:rPr>
          <w:sz w:val="20"/>
        </w:rPr>
      </w:pPr>
      <w:r w:rsidRPr="00855BFC">
        <w:rPr>
          <w:noProof/>
        </w:rPr>
        <w:drawing>
          <wp:inline distT="0" distB="0" distL="0" distR="0" wp14:anchorId="3330DA6D" wp14:editId="026F6D0C">
            <wp:extent cx="3185020" cy="931653"/>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7092" r="16063" b="12883"/>
                    <a:stretch/>
                  </pic:blipFill>
                  <pic:spPr bwMode="auto">
                    <a:xfrm>
                      <a:off x="0" y="0"/>
                      <a:ext cx="3213777" cy="940065"/>
                    </a:xfrm>
                    <a:prstGeom prst="rect">
                      <a:avLst/>
                    </a:prstGeom>
                    <a:noFill/>
                    <a:ln>
                      <a:noFill/>
                    </a:ln>
                    <a:extLst>
                      <a:ext uri="{53640926-AAD7-44D8-BBD7-CCE9431645EC}">
                        <a14:shadowObscured xmlns:a14="http://schemas.microsoft.com/office/drawing/2010/main"/>
                      </a:ext>
                    </a:extLst>
                  </pic:spPr>
                </pic:pic>
              </a:graphicData>
            </a:graphic>
          </wp:inline>
        </w:drawing>
      </w:r>
      <w:r w:rsidR="009E7581" w:rsidRPr="00855BFC">
        <w:rPr>
          <w:sz w:val="20"/>
        </w:rPr>
        <w:t>Source: Eviews Output</w:t>
      </w:r>
    </w:p>
    <w:p w14:paraId="66C173F8" w14:textId="77777777" w:rsidR="004B5197" w:rsidRPr="009A351F" w:rsidRDefault="004B5197" w:rsidP="004B5197">
      <w:pPr>
        <w:rPr>
          <w:sz w:val="22"/>
          <w:szCs w:val="22"/>
        </w:rPr>
      </w:pPr>
    </w:p>
    <w:p w14:paraId="49F525EB" w14:textId="77777777" w:rsidR="00EE7308" w:rsidRPr="00EE7308" w:rsidRDefault="00EE7308" w:rsidP="00EE7308">
      <w:pPr>
        <w:pStyle w:val="ListParagraph"/>
        <w:ind w:firstLine="567"/>
        <w:jc w:val="both"/>
        <w:rPr>
          <w:sz w:val="22"/>
          <w:szCs w:val="22"/>
        </w:rPr>
      </w:pPr>
      <w:r w:rsidRPr="00EE7308">
        <w:rPr>
          <w:sz w:val="22"/>
          <w:szCs w:val="22"/>
        </w:rPr>
        <w:t>The t-statistic value of the variable "Sales Growth" is 12.27068, and the t-table value is 1.66105. If we compare the t-statistic value to the t-table value, we find that 12.27068 is greater than 1.66105 with a probability of 0.0000 &gt; 0.05. The result is a rejection of H0 and a confirmation of Ha. It follows that an increase in sales will result in an increase in profits.</w:t>
      </w:r>
    </w:p>
    <w:p w14:paraId="5CBC8DE6" w14:textId="77777777" w:rsidR="00EE7308" w:rsidRPr="00EE7308" w:rsidRDefault="00EE7308" w:rsidP="00EE7308">
      <w:pPr>
        <w:pStyle w:val="ListParagraph"/>
        <w:ind w:firstLine="567"/>
        <w:jc w:val="both"/>
        <w:rPr>
          <w:sz w:val="22"/>
          <w:szCs w:val="22"/>
        </w:rPr>
      </w:pPr>
      <w:r w:rsidRPr="00EE7308">
        <w:rPr>
          <w:sz w:val="22"/>
          <w:szCs w:val="22"/>
        </w:rPr>
        <w:t>A t-Statistic of 2.602872, and a t-table value of 1.66105, indicate that profitability is an important factor. If we compare the t-Statistic value to the t-table value, we find that 2.602872 is greater than 1.66105 with a probability of 0.0107 0.05. What this indicates is that we accept Ha and reject H0. We can therefore draw the conclusion that profitability significantly contributes to the rate of profit expansion.</w:t>
      </w:r>
    </w:p>
    <w:p w14:paraId="194F635D" w14:textId="392B2E37" w:rsidR="009E7581" w:rsidRPr="009A351F" w:rsidRDefault="00EE7308" w:rsidP="00EE7308">
      <w:pPr>
        <w:pStyle w:val="ListParagraph"/>
        <w:ind w:left="0" w:firstLine="567"/>
        <w:jc w:val="both"/>
        <w:rPr>
          <w:sz w:val="22"/>
          <w:szCs w:val="22"/>
        </w:rPr>
      </w:pPr>
      <w:r w:rsidRPr="00EE7308">
        <w:rPr>
          <w:sz w:val="22"/>
          <w:szCs w:val="22"/>
        </w:rPr>
        <w:t>The t-statistic for the liquidity variable is -3.236798, and the t-table value is 1.66105. If we compare the t-Statistic value to the t-table value, we find that -3.236798 is greater than -1.66105 with a probability of 0.0017 &gt; 0.05. Therefore, we accept Ha and reject H0. The conclusion that can be drawn is that liquidity has a major and detrimental effect on profit expansion</w:t>
      </w:r>
      <w:r w:rsidR="009E7581" w:rsidRPr="009A351F">
        <w:rPr>
          <w:sz w:val="22"/>
          <w:szCs w:val="22"/>
        </w:rPr>
        <w:t>.</w:t>
      </w:r>
    </w:p>
    <w:p w14:paraId="15A396E4" w14:textId="5D2A529A" w:rsidR="009E7581" w:rsidRPr="009A351F" w:rsidRDefault="00EE7308" w:rsidP="004B5197">
      <w:pPr>
        <w:pStyle w:val="ListParagraph"/>
        <w:ind w:left="0" w:firstLine="567"/>
        <w:jc w:val="both"/>
        <w:rPr>
          <w:sz w:val="22"/>
          <w:szCs w:val="22"/>
        </w:rPr>
      </w:pPr>
      <w:r w:rsidRPr="00EE7308">
        <w:rPr>
          <w:iCs/>
          <w:sz w:val="22"/>
          <w:szCs w:val="22"/>
        </w:rPr>
        <w:t>The t-Statistic value of leverage is -5.822590, while the t-table value is 1.66105. With a probability of 0.0000 0.05, -5.822590 &gt; -1.66105 when comparing the t-Statistic result to the t table. Therefore, we accept Ha and reject H0. Therefore, it's safe to say that increased leverage has a major and detrimental effect on a company's ability to increase its profits</w:t>
      </w:r>
      <w:r w:rsidR="009E7581" w:rsidRPr="009A351F">
        <w:rPr>
          <w:sz w:val="22"/>
          <w:szCs w:val="22"/>
        </w:rPr>
        <w:t>.</w:t>
      </w:r>
    </w:p>
    <w:p w14:paraId="63FE1153" w14:textId="77777777" w:rsidR="009E7581" w:rsidRPr="009A351F" w:rsidRDefault="009E7581" w:rsidP="00612CF4">
      <w:pPr>
        <w:spacing w:after="240"/>
        <w:ind w:firstLine="360"/>
        <w:jc w:val="both"/>
        <w:rPr>
          <w:sz w:val="22"/>
          <w:szCs w:val="22"/>
        </w:rPr>
      </w:pPr>
    </w:p>
    <w:p w14:paraId="1B23ED4E" w14:textId="4633F0C7" w:rsidR="00D73172" w:rsidRPr="009A351F" w:rsidRDefault="009E7581" w:rsidP="004B7814">
      <w:pPr>
        <w:pStyle w:val="Heading1"/>
        <w:numPr>
          <w:ilvl w:val="0"/>
          <w:numId w:val="6"/>
        </w:numPr>
        <w:suppressAutoHyphens/>
        <w:spacing w:after="60"/>
        <w:ind w:left="360"/>
        <w:rPr>
          <w:i w:val="0"/>
          <w:sz w:val="22"/>
          <w:szCs w:val="22"/>
        </w:rPr>
      </w:pPr>
      <w:r w:rsidRPr="009A351F">
        <w:rPr>
          <w:i w:val="0"/>
          <w:sz w:val="22"/>
          <w:szCs w:val="22"/>
        </w:rPr>
        <w:t>CONCLUSION</w:t>
      </w:r>
    </w:p>
    <w:p w14:paraId="219D3FA5" w14:textId="1B58FCBD" w:rsidR="009E7581" w:rsidRPr="009A351F" w:rsidRDefault="00EE7308" w:rsidP="004B5197">
      <w:pPr>
        <w:ind w:firstLine="567"/>
        <w:jc w:val="both"/>
        <w:rPr>
          <w:sz w:val="22"/>
          <w:szCs w:val="22"/>
        </w:rPr>
      </w:pPr>
      <w:r w:rsidRPr="00EE7308">
        <w:rPr>
          <w:sz w:val="22"/>
          <w:szCs w:val="22"/>
        </w:rPr>
        <w:t>The following are some inferences that can be made based on the results of the research analysis and the talks that have taken place so far</w:t>
      </w:r>
      <w:r w:rsidR="009E7581" w:rsidRPr="009A351F">
        <w:rPr>
          <w:sz w:val="22"/>
          <w:szCs w:val="22"/>
        </w:rPr>
        <w:t>:</w:t>
      </w:r>
    </w:p>
    <w:p w14:paraId="624575A3" w14:textId="77777777" w:rsidR="00EE7308" w:rsidRPr="00EE7308" w:rsidRDefault="00EE7308" w:rsidP="00EE7308">
      <w:pPr>
        <w:pStyle w:val="ListParagraph"/>
        <w:numPr>
          <w:ilvl w:val="0"/>
          <w:numId w:val="19"/>
        </w:numPr>
        <w:jc w:val="both"/>
        <w:rPr>
          <w:sz w:val="22"/>
          <w:szCs w:val="22"/>
        </w:rPr>
      </w:pPr>
      <w:r w:rsidRPr="00EE7308">
        <w:rPr>
          <w:sz w:val="22"/>
          <w:szCs w:val="22"/>
        </w:rPr>
        <w:t xml:space="preserve">During the period 2011-2019, sales growth, profitability, liquidity, and leverage have a </w:t>
      </w:r>
      <w:r w:rsidRPr="00EE7308">
        <w:rPr>
          <w:sz w:val="22"/>
          <w:szCs w:val="22"/>
        </w:rPr>
        <w:lastRenderedPageBreak/>
        <w:t>substantial impact on the profit growth of food and beverage companies listed on the IDX.</w:t>
      </w:r>
    </w:p>
    <w:p w14:paraId="1DBECE17" w14:textId="77777777" w:rsidR="00EE7308" w:rsidRPr="00EE7308" w:rsidRDefault="00EE7308" w:rsidP="00EE7308">
      <w:pPr>
        <w:pStyle w:val="ListParagraph"/>
        <w:numPr>
          <w:ilvl w:val="0"/>
          <w:numId w:val="19"/>
        </w:numPr>
        <w:jc w:val="both"/>
        <w:rPr>
          <w:sz w:val="22"/>
          <w:szCs w:val="22"/>
        </w:rPr>
      </w:pPr>
      <w:r w:rsidRPr="00EE7308">
        <w:rPr>
          <w:sz w:val="22"/>
          <w:szCs w:val="22"/>
        </w:rPr>
        <w:t>During the period 2011-2019, sales growth has a favorable and considerable impact on the profit growth of food and beverage companies listed on the IDX.</w:t>
      </w:r>
    </w:p>
    <w:p w14:paraId="3BF4F84F" w14:textId="77777777" w:rsidR="00EE7308" w:rsidRPr="00EE7308" w:rsidRDefault="00EE7308" w:rsidP="00EE7308">
      <w:pPr>
        <w:pStyle w:val="ListParagraph"/>
        <w:numPr>
          <w:ilvl w:val="0"/>
          <w:numId w:val="19"/>
        </w:numPr>
        <w:jc w:val="both"/>
        <w:rPr>
          <w:sz w:val="22"/>
          <w:szCs w:val="22"/>
        </w:rPr>
      </w:pPr>
      <w:r w:rsidRPr="00EE7308">
        <w:rPr>
          <w:sz w:val="22"/>
          <w:szCs w:val="22"/>
        </w:rPr>
        <w:t>Profitability has a positive and large influence on profit growth in food and beverage companies listed on the IDX from 2011 to 2019 to a lesser extent.</w:t>
      </w:r>
    </w:p>
    <w:p w14:paraId="3FE6D221" w14:textId="77777777" w:rsidR="00EE7308" w:rsidRPr="00EE7308" w:rsidRDefault="00EE7308" w:rsidP="00EE7308">
      <w:pPr>
        <w:pStyle w:val="ListParagraph"/>
        <w:numPr>
          <w:ilvl w:val="0"/>
          <w:numId w:val="19"/>
        </w:numPr>
        <w:jc w:val="both"/>
        <w:rPr>
          <w:sz w:val="22"/>
          <w:szCs w:val="22"/>
        </w:rPr>
      </w:pPr>
      <w:r w:rsidRPr="00EE7308">
        <w:rPr>
          <w:sz w:val="22"/>
          <w:szCs w:val="22"/>
        </w:rPr>
        <w:t>For the period 2011-2019, liquidity has a negative and considerable impact on the profit growth of food and beverage companies listed on the IDX.</w:t>
      </w:r>
    </w:p>
    <w:p w14:paraId="540834E5" w14:textId="5840D53B" w:rsidR="009E7581" w:rsidRPr="009A351F" w:rsidRDefault="00EE7308" w:rsidP="00EE7308">
      <w:pPr>
        <w:pStyle w:val="ListParagraph"/>
        <w:numPr>
          <w:ilvl w:val="0"/>
          <w:numId w:val="19"/>
        </w:numPr>
        <w:jc w:val="both"/>
        <w:rPr>
          <w:sz w:val="22"/>
          <w:szCs w:val="22"/>
        </w:rPr>
      </w:pPr>
      <w:r w:rsidRPr="00EE7308">
        <w:rPr>
          <w:sz w:val="22"/>
          <w:szCs w:val="22"/>
        </w:rPr>
        <w:t>During the period 2011-2019, leverage has a negative and considerable impact on the profit growth of food and beverage companies listed on the IDX</w:t>
      </w:r>
      <w:r w:rsidR="009E7581" w:rsidRPr="009A351F">
        <w:rPr>
          <w:sz w:val="22"/>
          <w:szCs w:val="22"/>
        </w:rPr>
        <w:t>.</w:t>
      </w:r>
    </w:p>
    <w:p w14:paraId="005037D5" w14:textId="77777777" w:rsidR="009E7581" w:rsidRPr="009A351F" w:rsidRDefault="009E7581" w:rsidP="009E7581">
      <w:pPr>
        <w:pStyle w:val="ListParagraph"/>
        <w:ind w:left="360"/>
        <w:jc w:val="both"/>
        <w:rPr>
          <w:sz w:val="22"/>
          <w:szCs w:val="22"/>
        </w:rPr>
      </w:pPr>
    </w:p>
    <w:p w14:paraId="37E68C16" w14:textId="1B31E8D5" w:rsidR="00D73172" w:rsidRPr="009A351F" w:rsidRDefault="00D73172" w:rsidP="004B7814">
      <w:pPr>
        <w:pStyle w:val="Heading1"/>
        <w:numPr>
          <w:ilvl w:val="0"/>
          <w:numId w:val="6"/>
        </w:numPr>
        <w:suppressAutoHyphens/>
        <w:spacing w:after="60"/>
        <w:ind w:left="360"/>
        <w:rPr>
          <w:i w:val="0"/>
          <w:sz w:val="22"/>
          <w:szCs w:val="22"/>
        </w:rPr>
      </w:pPr>
      <w:r w:rsidRPr="009A351F">
        <w:rPr>
          <w:i w:val="0"/>
          <w:sz w:val="22"/>
          <w:szCs w:val="22"/>
          <w:lang w:val="id-ID"/>
        </w:rPr>
        <w:t>REFEREN</w:t>
      </w:r>
      <w:r w:rsidR="00D32A38">
        <w:rPr>
          <w:i w:val="0"/>
          <w:sz w:val="22"/>
          <w:szCs w:val="22"/>
        </w:rPr>
        <w:t>CES</w:t>
      </w:r>
    </w:p>
    <w:p w14:paraId="0C747C4E" w14:textId="70904D58" w:rsidR="00D32A38" w:rsidRPr="00D32A38" w:rsidRDefault="009E7581" w:rsidP="00D32A38">
      <w:pPr>
        <w:widowControl w:val="0"/>
        <w:autoSpaceDE w:val="0"/>
        <w:autoSpaceDN w:val="0"/>
        <w:adjustRightInd w:val="0"/>
        <w:ind w:left="480" w:hanging="480"/>
        <w:rPr>
          <w:noProof/>
          <w:sz w:val="22"/>
          <w:szCs w:val="24"/>
        </w:rPr>
      </w:pPr>
      <w:r w:rsidRPr="009A351F">
        <w:rPr>
          <w:b/>
          <w:sz w:val="22"/>
          <w:szCs w:val="22"/>
        </w:rPr>
        <w:fldChar w:fldCharType="begin" w:fldLock="1"/>
      </w:r>
      <w:r w:rsidRPr="009A351F">
        <w:rPr>
          <w:b/>
          <w:sz w:val="22"/>
          <w:szCs w:val="22"/>
        </w:rPr>
        <w:instrText xml:space="preserve">ADDIN Mendeley Bibliography CSL_BIBLIOGRAPHY </w:instrText>
      </w:r>
      <w:r w:rsidRPr="009A351F">
        <w:rPr>
          <w:b/>
          <w:sz w:val="22"/>
          <w:szCs w:val="22"/>
        </w:rPr>
        <w:fldChar w:fldCharType="separate"/>
      </w:r>
      <w:r w:rsidR="00D32A38" w:rsidRPr="00D32A38">
        <w:rPr>
          <w:noProof/>
          <w:sz w:val="22"/>
          <w:szCs w:val="24"/>
        </w:rPr>
        <w:t xml:space="preserve">Aisyah, R., &amp; Widhiastuti, R. N. (2021). Pengaruh Rasio Keuangan Terhadap Pertumbuhan Laba Pada Perusahaan Industri Makanan dan Minuman yang Terdaftar di BEI Periode 2010-2019. </w:t>
      </w:r>
      <w:r w:rsidR="00D32A38" w:rsidRPr="00D32A38">
        <w:rPr>
          <w:i/>
          <w:iCs/>
          <w:noProof/>
          <w:sz w:val="22"/>
          <w:szCs w:val="24"/>
        </w:rPr>
        <w:t>Jurnal Akuntansi Keuangan Dan Perbankan</w:t>
      </w:r>
      <w:r w:rsidR="00D32A38" w:rsidRPr="00D32A38">
        <w:rPr>
          <w:noProof/>
          <w:sz w:val="22"/>
          <w:szCs w:val="24"/>
        </w:rPr>
        <w:t xml:space="preserve">, </w:t>
      </w:r>
      <w:r w:rsidR="00D32A38" w:rsidRPr="00D32A38">
        <w:rPr>
          <w:i/>
          <w:iCs/>
          <w:noProof/>
          <w:sz w:val="22"/>
          <w:szCs w:val="24"/>
        </w:rPr>
        <w:t>2</w:t>
      </w:r>
      <w:r w:rsidR="00D32A38" w:rsidRPr="00D32A38">
        <w:rPr>
          <w:noProof/>
          <w:sz w:val="22"/>
          <w:szCs w:val="24"/>
        </w:rPr>
        <w:t>(Juni 2021), 1–9.</w:t>
      </w:r>
    </w:p>
    <w:p w14:paraId="6BD1853D"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Brigham, E. F., &amp; Houston, J. F. (2010). </w:t>
      </w:r>
      <w:r w:rsidRPr="00D32A38">
        <w:rPr>
          <w:i/>
          <w:iCs/>
          <w:noProof/>
          <w:sz w:val="22"/>
          <w:szCs w:val="24"/>
        </w:rPr>
        <w:t>Dasar-dasar Manajemen Keuangan</w:t>
      </w:r>
      <w:r w:rsidRPr="00D32A38">
        <w:rPr>
          <w:noProof/>
          <w:sz w:val="22"/>
          <w:szCs w:val="24"/>
        </w:rPr>
        <w:t xml:space="preserve"> (Edisi 11). Salemba Empat.</w:t>
      </w:r>
    </w:p>
    <w:p w14:paraId="5FF16B3F"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Endri, E., Sari, A. K., BUDIASIH, Y., Yuliantini, T., &amp; Kasmir, K. (2020). Determinants of Profit Growth in Food and Beverage Companies in Indonesia. </w:t>
      </w:r>
      <w:r w:rsidRPr="00D32A38">
        <w:rPr>
          <w:i/>
          <w:iCs/>
          <w:noProof/>
          <w:sz w:val="22"/>
          <w:szCs w:val="24"/>
        </w:rPr>
        <w:t>Journal of Asian Finance, Economics and Business</w:t>
      </w:r>
      <w:r w:rsidRPr="00D32A38">
        <w:rPr>
          <w:noProof/>
          <w:sz w:val="22"/>
          <w:szCs w:val="24"/>
        </w:rPr>
        <w:t xml:space="preserve">, </w:t>
      </w:r>
      <w:r w:rsidRPr="00D32A38">
        <w:rPr>
          <w:i/>
          <w:iCs/>
          <w:noProof/>
          <w:sz w:val="22"/>
          <w:szCs w:val="24"/>
        </w:rPr>
        <w:t>7</w:t>
      </w:r>
      <w:r w:rsidRPr="00D32A38">
        <w:rPr>
          <w:noProof/>
          <w:sz w:val="22"/>
          <w:szCs w:val="24"/>
        </w:rPr>
        <w:t>(12), 739–748. https://doi.org/10.13106/JAFEB.2020.VOL7.NO12.739</w:t>
      </w:r>
    </w:p>
    <w:p w14:paraId="4BAC33EA"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Febrianty, &amp; Divianto. (2017). Pengaruh Rasio Keuangan Terhadap Pertumbuhan Laba Perusahaan Perbankan. </w:t>
      </w:r>
      <w:r w:rsidRPr="00D32A38">
        <w:rPr>
          <w:i/>
          <w:iCs/>
          <w:noProof/>
          <w:sz w:val="22"/>
          <w:szCs w:val="24"/>
        </w:rPr>
        <w:t>Eksis: Jurnal Riset Ekonomi Dan Bisnis</w:t>
      </w:r>
      <w:r w:rsidRPr="00D32A38">
        <w:rPr>
          <w:noProof/>
          <w:sz w:val="22"/>
          <w:szCs w:val="24"/>
        </w:rPr>
        <w:t xml:space="preserve">, </w:t>
      </w:r>
      <w:r w:rsidRPr="00D32A38">
        <w:rPr>
          <w:i/>
          <w:iCs/>
          <w:noProof/>
          <w:sz w:val="22"/>
          <w:szCs w:val="24"/>
        </w:rPr>
        <w:t>12</w:t>
      </w:r>
      <w:r w:rsidRPr="00D32A38">
        <w:rPr>
          <w:noProof/>
          <w:sz w:val="22"/>
          <w:szCs w:val="24"/>
        </w:rPr>
        <w:t>(2), 109–125. https://doi.org/10.26533/eksis.v12i2.108</w:t>
      </w:r>
    </w:p>
    <w:p w14:paraId="285084A8"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Hanafi, M. M., &amp; Halim, A. (2012). </w:t>
      </w:r>
      <w:r w:rsidRPr="00D32A38">
        <w:rPr>
          <w:i/>
          <w:iCs/>
          <w:noProof/>
          <w:sz w:val="22"/>
          <w:szCs w:val="24"/>
        </w:rPr>
        <w:t xml:space="preserve">Analisis </w:t>
      </w:r>
      <w:r w:rsidRPr="00D32A38">
        <w:rPr>
          <w:i/>
          <w:iCs/>
          <w:noProof/>
          <w:sz w:val="22"/>
          <w:szCs w:val="24"/>
        </w:rPr>
        <w:t>Laporan Keuangan</w:t>
      </w:r>
      <w:r w:rsidRPr="00D32A38">
        <w:rPr>
          <w:noProof/>
          <w:sz w:val="22"/>
          <w:szCs w:val="24"/>
        </w:rPr>
        <w:t xml:space="preserve"> (Edisi ke 4). Sekolah Tinggi Ilmu Manajemen YKPN. Yogyakarta.</w:t>
      </w:r>
    </w:p>
    <w:p w14:paraId="33FDE30B"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Harahap, S. S. (2013). </w:t>
      </w:r>
      <w:r w:rsidRPr="00D32A38">
        <w:rPr>
          <w:i/>
          <w:iCs/>
          <w:noProof/>
          <w:sz w:val="22"/>
          <w:szCs w:val="24"/>
        </w:rPr>
        <w:t>Analisis Kritis atas Laporan Keuangan</w:t>
      </w:r>
      <w:r w:rsidRPr="00D32A38">
        <w:rPr>
          <w:noProof/>
          <w:sz w:val="22"/>
          <w:szCs w:val="24"/>
        </w:rPr>
        <w:t xml:space="preserve"> (Pertama). Raja Grafindo Persada, Jakarta.</w:t>
      </w:r>
    </w:p>
    <w:p w14:paraId="2DFBF7D0"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Kasmir. (2018). </w:t>
      </w:r>
      <w:r w:rsidRPr="00D32A38">
        <w:rPr>
          <w:i/>
          <w:iCs/>
          <w:noProof/>
          <w:sz w:val="22"/>
          <w:szCs w:val="24"/>
        </w:rPr>
        <w:t>Analisis Laporan Keuangan</w:t>
      </w:r>
      <w:r w:rsidRPr="00D32A38">
        <w:rPr>
          <w:noProof/>
          <w:sz w:val="22"/>
          <w:szCs w:val="24"/>
        </w:rPr>
        <w:t>. PT Raja Grafindo Persada.</w:t>
      </w:r>
    </w:p>
    <w:p w14:paraId="365E9FBC"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Kennedy, Azlina, N., &amp; Suzana, A. R. (2017). Faktor–Faktor Yang Mempengaruhi Struktur Modal Pada Perusahaan Real Estate And Property Yang Go Public Di Bursa Efek Indonesia. </w:t>
      </w:r>
      <w:r w:rsidRPr="00D32A38">
        <w:rPr>
          <w:i/>
          <w:iCs/>
          <w:noProof/>
          <w:sz w:val="22"/>
          <w:szCs w:val="24"/>
        </w:rPr>
        <w:t>Jurnal Akuntansi Bisnis</w:t>
      </w:r>
      <w:r w:rsidRPr="00D32A38">
        <w:rPr>
          <w:noProof/>
          <w:sz w:val="22"/>
          <w:szCs w:val="24"/>
        </w:rPr>
        <w:t xml:space="preserve">, </w:t>
      </w:r>
      <w:r w:rsidRPr="00D32A38">
        <w:rPr>
          <w:i/>
          <w:iCs/>
          <w:noProof/>
          <w:sz w:val="22"/>
          <w:szCs w:val="24"/>
        </w:rPr>
        <w:t>9</w:t>
      </w:r>
      <w:r w:rsidRPr="00D32A38">
        <w:rPr>
          <w:noProof/>
          <w:sz w:val="22"/>
          <w:szCs w:val="24"/>
        </w:rPr>
        <w:t>(2).</w:t>
      </w:r>
    </w:p>
    <w:p w14:paraId="6722B979"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Maulana, Y. (2022). Pemodelan Volatilitas Indeks Harga Saham Sektoral di Indonesia. </w:t>
      </w:r>
      <w:r w:rsidRPr="00D32A38">
        <w:rPr>
          <w:i/>
          <w:iCs/>
          <w:noProof/>
          <w:sz w:val="22"/>
          <w:szCs w:val="24"/>
        </w:rPr>
        <w:t>LOGIKA : JURNAL PENELITIAN UNIVERSITAS KUNINGAN</w:t>
      </w:r>
      <w:r w:rsidRPr="00D32A38">
        <w:rPr>
          <w:noProof/>
          <w:sz w:val="22"/>
          <w:szCs w:val="24"/>
        </w:rPr>
        <w:t xml:space="preserve">, </w:t>
      </w:r>
      <w:r w:rsidRPr="00D32A38">
        <w:rPr>
          <w:i/>
          <w:iCs/>
          <w:noProof/>
          <w:sz w:val="22"/>
          <w:szCs w:val="24"/>
        </w:rPr>
        <w:t>13</w:t>
      </w:r>
      <w:r w:rsidRPr="00D32A38">
        <w:rPr>
          <w:noProof/>
          <w:sz w:val="22"/>
          <w:szCs w:val="24"/>
        </w:rPr>
        <w:t>. https://journal.uniku.ac.id/index.php/logika/article/view/5688</w:t>
      </w:r>
    </w:p>
    <w:p w14:paraId="3A32506B"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Maulana, Y., Harjadi, D., &amp; Lismawati, L. (2023). </w:t>
      </w:r>
      <w:r w:rsidRPr="00D32A38">
        <w:rPr>
          <w:i/>
          <w:iCs/>
          <w:noProof/>
          <w:sz w:val="22"/>
          <w:szCs w:val="24"/>
        </w:rPr>
        <w:t>Pengaruh kredit bermasalah dan penyaluran kredit terhadap profitabilitas bank bumn terdaftar BEI</w:t>
      </w:r>
      <w:r w:rsidRPr="00D32A38">
        <w:rPr>
          <w:noProof/>
          <w:sz w:val="22"/>
          <w:szCs w:val="24"/>
        </w:rPr>
        <w:t xml:space="preserve">. </w:t>
      </w:r>
      <w:r w:rsidRPr="00D32A38">
        <w:rPr>
          <w:i/>
          <w:iCs/>
          <w:noProof/>
          <w:sz w:val="22"/>
          <w:szCs w:val="24"/>
        </w:rPr>
        <w:t>20</w:t>
      </w:r>
      <w:r w:rsidRPr="00D32A38">
        <w:rPr>
          <w:noProof/>
          <w:sz w:val="22"/>
          <w:szCs w:val="24"/>
        </w:rPr>
        <w:t>(01), 55–61. https://doi.org/https://doi.org/10.25134/equi.v20i01.6759</w:t>
      </w:r>
    </w:p>
    <w:p w14:paraId="3743DD35"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Prihartanty, R. (2010). </w:t>
      </w:r>
      <w:r w:rsidRPr="00D32A38">
        <w:rPr>
          <w:i/>
          <w:iCs/>
          <w:noProof/>
          <w:sz w:val="22"/>
          <w:szCs w:val="24"/>
        </w:rPr>
        <w:t>Analisis Pengaruh Rasio Likuiditas, Rasio Leverage, Rasio Aktivitas, dan Rasio Profitabilitas terhadap Net Income Growth (Studi Pada Perusahaan Perdagangan Retail yang Listed di BEI Periode 2005-2009)</w:t>
      </w:r>
      <w:r w:rsidRPr="00D32A38">
        <w:rPr>
          <w:noProof/>
          <w:sz w:val="22"/>
          <w:szCs w:val="24"/>
        </w:rPr>
        <w:t>. Universitas Diponegoro.</w:t>
      </w:r>
    </w:p>
    <w:p w14:paraId="418A06E8" w14:textId="77777777" w:rsidR="00D32A38" w:rsidRPr="00D32A38" w:rsidRDefault="00D32A38" w:rsidP="00D32A38">
      <w:pPr>
        <w:widowControl w:val="0"/>
        <w:autoSpaceDE w:val="0"/>
        <w:autoSpaceDN w:val="0"/>
        <w:adjustRightInd w:val="0"/>
        <w:ind w:left="480" w:hanging="480"/>
        <w:rPr>
          <w:noProof/>
          <w:sz w:val="22"/>
          <w:szCs w:val="24"/>
        </w:rPr>
      </w:pPr>
      <w:r w:rsidRPr="00D32A38">
        <w:rPr>
          <w:noProof/>
          <w:sz w:val="22"/>
          <w:szCs w:val="24"/>
        </w:rPr>
        <w:t xml:space="preserve">Putri, L. D. N. E., &amp; Santoso, B. H. (2020). Pengaruh Likuiditas,Profitabilitas Dan Leverage Terhadap Pertumbuhan Laba Perusahaan Food and Beverages. </w:t>
      </w:r>
      <w:r w:rsidRPr="00D32A38">
        <w:rPr>
          <w:i/>
          <w:iCs/>
          <w:noProof/>
          <w:sz w:val="22"/>
          <w:szCs w:val="24"/>
        </w:rPr>
        <w:t>Ilmu Dan Riset Manajemen</w:t>
      </w:r>
      <w:r w:rsidRPr="00D32A38">
        <w:rPr>
          <w:noProof/>
          <w:sz w:val="22"/>
          <w:szCs w:val="24"/>
        </w:rPr>
        <w:t xml:space="preserve">, </w:t>
      </w:r>
      <w:r w:rsidRPr="00D32A38">
        <w:rPr>
          <w:i/>
          <w:iCs/>
          <w:noProof/>
          <w:sz w:val="22"/>
          <w:szCs w:val="24"/>
        </w:rPr>
        <w:t>9</w:t>
      </w:r>
      <w:r w:rsidRPr="00D32A38">
        <w:rPr>
          <w:noProof/>
          <w:sz w:val="22"/>
          <w:szCs w:val="24"/>
        </w:rPr>
        <w:t>(5), 1–17.</w:t>
      </w:r>
    </w:p>
    <w:p w14:paraId="6737C526" w14:textId="77777777" w:rsidR="00D32A38" w:rsidRPr="00D32A38" w:rsidRDefault="00D32A38" w:rsidP="00D32A38">
      <w:pPr>
        <w:widowControl w:val="0"/>
        <w:autoSpaceDE w:val="0"/>
        <w:autoSpaceDN w:val="0"/>
        <w:adjustRightInd w:val="0"/>
        <w:ind w:left="480" w:hanging="480"/>
        <w:rPr>
          <w:noProof/>
          <w:sz w:val="22"/>
        </w:rPr>
      </w:pPr>
      <w:r w:rsidRPr="00D32A38">
        <w:rPr>
          <w:noProof/>
          <w:sz w:val="22"/>
          <w:szCs w:val="24"/>
        </w:rPr>
        <w:t xml:space="preserve">Sandjaja, A. E., &amp; Suwaidi, R. A. (2021). Pengaruh Likuiditas, Leverage, Dan Rasio Aktivitas Terhadap Pertumbuhan Laba Pada Perusahaan Food and Beverages Yang Terdaftar Di Bursa Efek Indonesia. </w:t>
      </w:r>
      <w:r w:rsidRPr="00D32A38">
        <w:rPr>
          <w:i/>
          <w:iCs/>
          <w:noProof/>
          <w:sz w:val="22"/>
          <w:szCs w:val="24"/>
        </w:rPr>
        <w:t>Jurnal Sosial, Ekonomi, Dan Politik</w:t>
      </w:r>
      <w:r w:rsidRPr="00D32A38">
        <w:rPr>
          <w:noProof/>
          <w:sz w:val="22"/>
          <w:szCs w:val="24"/>
        </w:rPr>
        <w:t xml:space="preserve">, </w:t>
      </w:r>
      <w:r w:rsidRPr="00D32A38">
        <w:rPr>
          <w:i/>
          <w:iCs/>
          <w:noProof/>
          <w:sz w:val="22"/>
          <w:szCs w:val="24"/>
        </w:rPr>
        <w:t>2</w:t>
      </w:r>
      <w:r w:rsidRPr="00D32A38">
        <w:rPr>
          <w:noProof/>
          <w:sz w:val="22"/>
          <w:szCs w:val="24"/>
        </w:rPr>
        <w:t>(3), 17–25.</w:t>
      </w:r>
    </w:p>
    <w:p w14:paraId="48B64D7B" w14:textId="77777777" w:rsidR="009E7581" w:rsidRDefault="009E7581" w:rsidP="009A351F">
      <w:pPr>
        <w:ind w:left="567" w:hanging="567"/>
      </w:pPr>
      <w:r w:rsidRPr="009A351F">
        <w:rPr>
          <w:sz w:val="22"/>
          <w:szCs w:val="22"/>
        </w:rPr>
        <w:fldChar w:fldCharType="end"/>
      </w:r>
    </w:p>
    <w:p w14:paraId="640D4CDC" w14:textId="77777777" w:rsidR="00FB47D1" w:rsidRDefault="00FB47D1" w:rsidP="009E7581">
      <w:pPr>
        <w:pStyle w:val="Heading1"/>
        <w:suppressAutoHyphens/>
        <w:spacing w:after="60"/>
        <w:ind w:left="360"/>
        <w:rPr>
          <w:i w:val="0"/>
          <w:sz w:val="22"/>
          <w:szCs w:val="22"/>
          <w:lang w:val="id-ID"/>
        </w:rPr>
        <w:sectPr w:rsidR="00FB47D1" w:rsidSect="00376D1D">
          <w:type w:val="continuous"/>
          <w:pgSz w:w="11909" w:h="16834" w:code="9"/>
          <w:pgMar w:top="1701" w:right="1134" w:bottom="1701" w:left="1418" w:header="1060" w:footer="1242" w:gutter="0"/>
          <w:cols w:num="2" w:space="454"/>
          <w:docGrid w:linePitch="360"/>
        </w:sectPr>
      </w:pPr>
    </w:p>
    <w:p w14:paraId="6EE57B64" w14:textId="77777777" w:rsidR="00F41C66" w:rsidRDefault="00F41C66" w:rsidP="00D73172">
      <w:pPr>
        <w:spacing w:after="120"/>
        <w:ind w:firstLine="360"/>
        <w:jc w:val="both"/>
        <w:rPr>
          <w:sz w:val="22"/>
          <w:szCs w:val="22"/>
        </w:rPr>
      </w:pPr>
    </w:p>
    <w:p w14:paraId="74BBA994" w14:textId="77777777" w:rsidR="00482F53" w:rsidRDefault="00482F53" w:rsidP="00D73172">
      <w:pPr>
        <w:spacing w:after="120"/>
        <w:ind w:firstLine="360"/>
        <w:jc w:val="both"/>
        <w:rPr>
          <w:sz w:val="22"/>
          <w:szCs w:val="22"/>
        </w:rPr>
      </w:pPr>
    </w:p>
    <w:p w14:paraId="5E659584"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A2C04" w14:textId="77777777" w:rsidR="00501CC3" w:rsidRDefault="00501CC3">
      <w:r>
        <w:separator/>
      </w:r>
    </w:p>
  </w:endnote>
  <w:endnote w:type="continuationSeparator" w:id="0">
    <w:p w14:paraId="13EEA345" w14:textId="77777777" w:rsidR="00501CC3" w:rsidRDefault="0050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1041788"/>
      <w:docPartObj>
        <w:docPartGallery w:val="Page Numbers (Bottom of Page)"/>
        <w:docPartUnique/>
      </w:docPartObj>
    </w:sdtPr>
    <w:sdtEndPr/>
    <w:sdtContent>
      <w:p w14:paraId="51F29EFD" w14:textId="77777777" w:rsidR="00B4799F" w:rsidRDefault="00B4799F" w:rsidP="00F41C66">
        <w:pPr>
          <w:pStyle w:val="Footer"/>
          <w:jc w:val="right"/>
        </w:pPr>
        <w:r>
          <w:fldChar w:fldCharType="begin"/>
        </w:r>
        <w:r>
          <w:instrText xml:space="preserve"> PAGE   \* MERGEFORMAT </w:instrText>
        </w:r>
        <w:r>
          <w:fldChar w:fldCharType="separate"/>
        </w:r>
        <w:r w:rsidR="00EC23F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EB96D" w14:textId="77777777" w:rsidR="00501CC3" w:rsidRDefault="00501CC3">
      <w:r>
        <w:separator/>
      </w:r>
    </w:p>
  </w:footnote>
  <w:footnote w:type="continuationSeparator" w:id="0">
    <w:p w14:paraId="48E60510" w14:textId="77777777" w:rsidR="00501CC3" w:rsidRDefault="0050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65BC" w14:textId="77777777" w:rsidR="00B4799F" w:rsidRPr="001D0642" w:rsidRDefault="00B4799F">
    <w:pPr>
      <w:pStyle w:val="Header"/>
      <w:rPr>
        <w:b/>
        <w:i/>
        <w:lang w:val="id-ID"/>
      </w:rPr>
    </w:pPr>
    <w:r>
      <w:rPr>
        <w:b/>
        <w:i/>
        <w:lang w:val="id-ID"/>
      </w:rPr>
      <w:t xml:space="preserve">Templete Jurnal Akuntansi dan Pajak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B5432D"/>
    <w:multiLevelType w:val="multilevel"/>
    <w:tmpl w:val="C70A88E8"/>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E308A"/>
    <w:multiLevelType w:val="hybridMultilevel"/>
    <w:tmpl w:val="962C7C6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834411"/>
    <w:multiLevelType w:val="hybridMultilevel"/>
    <w:tmpl w:val="0F34BBB4"/>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3995EF9"/>
    <w:multiLevelType w:val="multilevel"/>
    <w:tmpl w:val="5F2C9BD0"/>
    <w:lvl w:ilvl="0">
      <w:start w:val="1"/>
      <w:numFmt w:val="decimal"/>
      <w:lvlText w:val="%1)"/>
      <w:lvlJc w:val="left"/>
      <w:pPr>
        <w:ind w:left="360" w:hanging="360"/>
      </w:pPr>
      <w:rPr>
        <w:rFonts w:hint="default"/>
      </w:rPr>
    </w:lvl>
    <w:lvl w:ilvl="1">
      <w:start w:val="1"/>
      <w:numFmt w:val="decimal"/>
      <w:isLgl/>
      <w:lvlText w:val="%1.%2."/>
      <w:lvlJc w:val="left"/>
      <w:pPr>
        <w:ind w:left="840" w:hanging="720"/>
      </w:pPr>
      <w:rPr>
        <w:rFonts w:hint="default"/>
      </w:rPr>
    </w:lvl>
    <w:lvl w:ilvl="2">
      <w:start w:val="5"/>
      <w:numFmt w:val="decimal"/>
      <w:isLgl/>
      <w:lvlText w:val="%1.%2.%3."/>
      <w:lvlJc w:val="left"/>
      <w:pPr>
        <w:ind w:left="96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7" w15:restartNumberingAfterBreak="0">
    <w:nsid w:val="2EDD1E96"/>
    <w:multiLevelType w:val="hybridMultilevel"/>
    <w:tmpl w:val="1C0076AA"/>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BAB511C"/>
    <w:multiLevelType w:val="multilevel"/>
    <w:tmpl w:val="EC4CBB00"/>
    <w:lvl w:ilvl="0">
      <w:start w:val="1"/>
      <w:numFmt w:val="decimal"/>
      <w:lvlText w:val="%1)"/>
      <w:lvlJc w:val="left"/>
      <w:pPr>
        <w:ind w:left="0" w:hanging="360"/>
      </w:pPr>
      <w:rPr>
        <w:rFonts w:hint="default"/>
      </w:rPr>
    </w:lvl>
    <w:lvl w:ilvl="1">
      <w:start w:val="2"/>
      <w:numFmt w:val="decimal"/>
      <w:isLgl/>
      <w:lvlText w:val="%1.%2."/>
      <w:lvlJc w:val="left"/>
      <w:pPr>
        <w:ind w:left="180" w:hanging="54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405E287C"/>
    <w:multiLevelType w:val="hybridMultilevel"/>
    <w:tmpl w:val="C85AB08E"/>
    <w:lvl w:ilvl="0" w:tplc="3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42321C"/>
    <w:multiLevelType w:val="hybridMultilevel"/>
    <w:tmpl w:val="46C0B542"/>
    <w:lvl w:ilvl="0" w:tplc="3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0A3620"/>
    <w:multiLevelType w:val="multilevel"/>
    <w:tmpl w:val="6FA2108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24617C7"/>
    <w:multiLevelType w:val="multilevel"/>
    <w:tmpl w:val="F95CEBB8"/>
    <w:lvl w:ilvl="0">
      <w:start w:val="1"/>
      <w:numFmt w:val="decimal"/>
      <w:lvlText w:val="%1."/>
      <w:lvlJc w:val="left"/>
      <w:pPr>
        <w:ind w:left="720" w:hanging="360"/>
      </w:pPr>
      <w:rPr>
        <w:rFonts w:hint="default"/>
      </w:rPr>
    </w:lvl>
    <w:lvl w:ilvl="1">
      <w:start w:val="1"/>
      <w:numFmt w:val="decimal"/>
      <w:isLgl/>
      <w:lvlText w:val="%1.%2."/>
      <w:lvlJc w:val="left"/>
      <w:pPr>
        <w:ind w:left="1200" w:hanging="720"/>
      </w:pPr>
      <w:rPr>
        <w:rFonts w:hint="default"/>
      </w:rPr>
    </w:lvl>
    <w:lvl w:ilvl="2">
      <w:start w:val="5"/>
      <w:numFmt w:val="decimal"/>
      <w:isLgl/>
      <w:lvlText w:val="%1.%2.%3."/>
      <w:lvlJc w:val="left"/>
      <w:pPr>
        <w:ind w:left="132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4" w15:restartNumberingAfterBreak="0">
    <w:nsid w:val="52EC7A18"/>
    <w:multiLevelType w:val="hybridMultilevel"/>
    <w:tmpl w:val="BD26EEAE"/>
    <w:lvl w:ilvl="0" w:tplc="44EC637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5416103"/>
    <w:multiLevelType w:val="hybridMultilevel"/>
    <w:tmpl w:val="F3D00D02"/>
    <w:lvl w:ilvl="0" w:tplc="3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C07B86"/>
    <w:multiLevelType w:val="hybridMultilevel"/>
    <w:tmpl w:val="0BE2249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5B656C8"/>
    <w:multiLevelType w:val="hybridMultilevel"/>
    <w:tmpl w:val="17384630"/>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6C5B32D3"/>
    <w:multiLevelType w:val="multilevel"/>
    <w:tmpl w:val="2E3C32AC"/>
    <w:lvl w:ilvl="0">
      <w:start w:val="1"/>
      <w:numFmt w:val="decimal"/>
      <w:lvlText w:val="%1)"/>
      <w:lvlJc w:val="left"/>
      <w:pPr>
        <w:ind w:left="360" w:hanging="360"/>
      </w:pPr>
      <w:rPr>
        <w:rFonts w:hint="default"/>
      </w:rPr>
    </w:lvl>
    <w:lvl w:ilvl="1">
      <w:start w:val="1"/>
      <w:numFmt w:val="decimal"/>
      <w:isLgl/>
      <w:lvlText w:val="%1.%2."/>
      <w:lvlJc w:val="left"/>
      <w:pPr>
        <w:ind w:left="840" w:hanging="720"/>
      </w:pPr>
      <w:rPr>
        <w:rFonts w:hint="default"/>
      </w:rPr>
    </w:lvl>
    <w:lvl w:ilvl="2">
      <w:start w:val="5"/>
      <w:numFmt w:val="decimal"/>
      <w:isLgl/>
      <w:lvlText w:val="%1.%2.%3."/>
      <w:lvlJc w:val="left"/>
      <w:pPr>
        <w:ind w:left="96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20" w15:restartNumberingAfterBreak="0">
    <w:nsid w:val="6FA9028A"/>
    <w:multiLevelType w:val="hybridMultilevel"/>
    <w:tmpl w:val="4EBAB3C2"/>
    <w:lvl w:ilvl="0" w:tplc="A31850A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11"/>
  </w:num>
  <w:num w:numId="9">
    <w:abstractNumId w:val="13"/>
  </w:num>
  <w:num w:numId="10">
    <w:abstractNumId w:val="19"/>
  </w:num>
  <w:num w:numId="11">
    <w:abstractNumId w:val="8"/>
  </w:num>
  <w:num w:numId="12">
    <w:abstractNumId w:val="7"/>
  </w:num>
  <w:num w:numId="13">
    <w:abstractNumId w:val="20"/>
  </w:num>
  <w:num w:numId="14">
    <w:abstractNumId w:val="14"/>
  </w:num>
  <w:num w:numId="15">
    <w:abstractNumId w:val="10"/>
  </w:num>
  <w:num w:numId="16">
    <w:abstractNumId w:val="2"/>
  </w:num>
  <w:num w:numId="17">
    <w:abstractNumId w:val="16"/>
  </w:num>
  <w:num w:numId="18">
    <w:abstractNumId w:val="9"/>
  </w:num>
  <w:num w:numId="19">
    <w:abstractNumId w:val="17"/>
  </w:num>
  <w:num w:numId="20">
    <w:abstractNumId w:val="4"/>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0097C"/>
    <w:rsid w:val="00010C81"/>
    <w:rsid w:val="00017BCC"/>
    <w:rsid w:val="00032073"/>
    <w:rsid w:val="000541B9"/>
    <w:rsid w:val="000E018D"/>
    <w:rsid w:val="00120BFE"/>
    <w:rsid w:val="00136193"/>
    <w:rsid w:val="001419FC"/>
    <w:rsid w:val="001B277F"/>
    <w:rsid w:val="001D0642"/>
    <w:rsid w:val="001E0A5B"/>
    <w:rsid w:val="002006E1"/>
    <w:rsid w:val="00201B74"/>
    <w:rsid w:val="00203B5F"/>
    <w:rsid w:val="0021008A"/>
    <w:rsid w:val="00214280"/>
    <w:rsid w:val="00220AAF"/>
    <w:rsid w:val="002241B8"/>
    <w:rsid w:val="00225E7D"/>
    <w:rsid w:val="002318A5"/>
    <w:rsid w:val="00240055"/>
    <w:rsid w:val="0024260F"/>
    <w:rsid w:val="0024794E"/>
    <w:rsid w:val="0026234A"/>
    <w:rsid w:val="002C01ED"/>
    <w:rsid w:val="002C6C1A"/>
    <w:rsid w:val="002F21E3"/>
    <w:rsid w:val="00307AC7"/>
    <w:rsid w:val="00324AFE"/>
    <w:rsid w:val="00335D3A"/>
    <w:rsid w:val="00336B34"/>
    <w:rsid w:val="003451AD"/>
    <w:rsid w:val="00376D1D"/>
    <w:rsid w:val="003F6A8D"/>
    <w:rsid w:val="004013F0"/>
    <w:rsid w:val="004064D7"/>
    <w:rsid w:val="00467D33"/>
    <w:rsid w:val="00482F53"/>
    <w:rsid w:val="004A6B49"/>
    <w:rsid w:val="004B5197"/>
    <w:rsid w:val="004B7814"/>
    <w:rsid w:val="004C5327"/>
    <w:rsid w:val="00501CC3"/>
    <w:rsid w:val="00527F33"/>
    <w:rsid w:val="00541D2A"/>
    <w:rsid w:val="005531EB"/>
    <w:rsid w:val="00575733"/>
    <w:rsid w:val="00580208"/>
    <w:rsid w:val="005E0159"/>
    <w:rsid w:val="006048B8"/>
    <w:rsid w:val="00612CF4"/>
    <w:rsid w:val="0063606C"/>
    <w:rsid w:val="006459CF"/>
    <w:rsid w:val="0065308C"/>
    <w:rsid w:val="00662BF9"/>
    <w:rsid w:val="006636B1"/>
    <w:rsid w:val="00670614"/>
    <w:rsid w:val="00674FAB"/>
    <w:rsid w:val="0067543B"/>
    <w:rsid w:val="00676052"/>
    <w:rsid w:val="006B64C7"/>
    <w:rsid w:val="006F36CD"/>
    <w:rsid w:val="00705D58"/>
    <w:rsid w:val="00711C4D"/>
    <w:rsid w:val="00713F5B"/>
    <w:rsid w:val="0071681A"/>
    <w:rsid w:val="007349A7"/>
    <w:rsid w:val="007432C2"/>
    <w:rsid w:val="00792779"/>
    <w:rsid w:val="007A0CBD"/>
    <w:rsid w:val="007A7B14"/>
    <w:rsid w:val="007D1129"/>
    <w:rsid w:val="007F3CF3"/>
    <w:rsid w:val="007F65FD"/>
    <w:rsid w:val="0080184F"/>
    <w:rsid w:val="0084586B"/>
    <w:rsid w:val="00855BFC"/>
    <w:rsid w:val="00876F86"/>
    <w:rsid w:val="008964A4"/>
    <w:rsid w:val="008B6850"/>
    <w:rsid w:val="008C5B73"/>
    <w:rsid w:val="008E4734"/>
    <w:rsid w:val="0091636C"/>
    <w:rsid w:val="009243FC"/>
    <w:rsid w:val="009316D9"/>
    <w:rsid w:val="009331BC"/>
    <w:rsid w:val="0094627F"/>
    <w:rsid w:val="0099047D"/>
    <w:rsid w:val="00992B6D"/>
    <w:rsid w:val="009A351F"/>
    <w:rsid w:val="009B0E02"/>
    <w:rsid w:val="009D4C59"/>
    <w:rsid w:val="009E2DCA"/>
    <w:rsid w:val="009E7581"/>
    <w:rsid w:val="009F3609"/>
    <w:rsid w:val="00A03ECE"/>
    <w:rsid w:val="00A36D71"/>
    <w:rsid w:val="00A56E67"/>
    <w:rsid w:val="00A63CA4"/>
    <w:rsid w:val="00A72B34"/>
    <w:rsid w:val="00AD6B26"/>
    <w:rsid w:val="00AE435A"/>
    <w:rsid w:val="00B178C0"/>
    <w:rsid w:val="00B4799F"/>
    <w:rsid w:val="00B67117"/>
    <w:rsid w:val="00BA4BB8"/>
    <w:rsid w:val="00BC3058"/>
    <w:rsid w:val="00BC782F"/>
    <w:rsid w:val="00BD4300"/>
    <w:rsid w:val="00BE0211"/>
    <w:rsid w:val="00BE5E04"/>
    <w:rsid w:val="00BE7B73"/>
    <w:rsid w:val="00C229A5"/>
    <w:rsid w:val="00C32EAA"/>
    <w:rsid w:val="00C35CDC"/>
    <w:rsid w:val="00CA633C"/>
    <w:rsid w:val="00CE5FE3"/>
    <w:rsid w:val="00CF7444"/>
    <w:rsid w:val="00D10915"/>
    <w:rsid w:val="00D20EAA"/>
    <w:rsid w:val="00D32A38"/>
    <w:rsid w:val="00D500E1"/>
    <w:rsid w:val="00D54AC6"/>
    <w:rsid w:val="00D73172"/>
    <w:rsid w:val="00DB5735"/>
    <w:rsid w:val="00DD48A1"/>
    <w:rsid w:val="00DE4AF3"/>
    <w:rsid w:val="00DF061D"/>
    <w:rsid w:val="00E226DA"/>
    <w:rsid w:val="00E25044"/>
    <w:rsid w:val="00E501F4"/>
    <w:rsid w:val="00E510C7"/>
    <w:rsid w:val="00E81402"/>
    <w:rsid w:val="00EB06C7"/>
    <w:rsid w:val="00EC23FC"/>
    <w:rsid w:val="00EE7308"/>
    <w:rsid w:val="00EF5CAB"/>
    <w:rsid w:val="00EF7397"/>
    <w:rsid w:val="00F007C5"/>
    <w:rsid w:val="00F0081E"/>
    <w:rsid w:val="00F01E62"/>
    <w:rsid w:val="00F20C9C"/>
    <w:rsid w:val="00F22146"/>
    <w:rsid w:val="00F3219E"/>
    <w:rsid w:val="00F41C66"/>
    <w:rsid w:val="00F51B6E"/>
    <w:rsid w:val="00F54EC7"/>
    <w:rsid w:val="00F7073A"/>
    <w:rsid w:val="00F7365E"/>
    <w:rsid w:val="00FA2FBB"/>
    <w:rsid w:val="00FB33E1"/>
    <w:rsid w:val="00FB47D1"/>
    <w:rsid w:val="00FE32A6"/>
    <w:rsid w:val="00FF1FA8"/>
    <w:rsid w:val="00FF6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9ECBD"/>
  <w15:docId w15:val="{0408F0EE-C85F-4CCA-8100-0A7A5877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1">
    <w:name w:val="Unresolved Mention1"/>
    <w:basedOn w:val="DefaultParagraphFont"/>
    <w:uiPriority w:val="99"/>
    <w:semiHidden/>
    <w:unhideWhenUsed/>
    <w:rsid w:val="00676052"/>
    <w:rPr>
      <w:color w:val="605E5C"/>
      <w:shd w:val="clear" w:color="auto" w:fill="E1DFDD"/>
    </w:rPr>
  </w:style>
  <w:style w:type="paragraph" w:styleId="BalloonText">
    <w:name w:val="Balloon Text"/>
    <w:basedOn w:val="Normal"/>
    <w:link w:val="BalloonTextChar"/>
    <w:uiPriority w:val="99"/>
    <w:semiHidden/>
    <w:unhideWhenUsed/>
    <w:rsid w:val="006F36CD"/>
    <w:rPr>
      <w:rFonts w:ascii="Tahoma" w:hAnsi="Tahoma" w:cs="Tahoma"/>
      <w:sz w:val="16"/>
      <w:szCs w:val="16"/>
    </w:rPr>
  </w:style>
  <w:style w:type="character" w:customStyle="1" w:styleId="BalloonTextChar">
    <w:name w:val="Balloon Text Char"/>
    <w:basedOn w:val="DefaultParagraphFont"/>
    <w:link w:val="BalloonText"/>
    <w:uiPriority w:val="99"/>
    <w:semiHidden/>
    <w:rsid w:val="006F36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64139704">
      <w:bodyDiv w:val="1"/>
      <w:marLeft w:val="0"/>
      <w:marRight w:val="0"/>
      <w:marTop w:val="0"/>
      <w:marBottom w:val="0"/>
      <w:divBdr>
        <w:top w:val="none" w:sz="0" w:space="0" w:color="auto"/>
        <w:left w:val="none" w:sz="0" w:space="0" w:color="auto"/>
        <w:bottom w:val="none" w:sz="0" w:space="0" w:color="auto"/>
        <w:right w:val="none" w:sz="0" w:space="0" w:color="auto"/>
      </w:divBdr>
    </w:div>
    <w:div w:id="111597676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1A2C-3C1C-466B-8519-0F833F06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7074</Words>
  <Characters>40326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Yasir</dc:creator>
  <cp:lastModifiedBy>Yasir Maulana</cp:lastModifiedBy>
  <cp:revision>4</cp:revision>
  <cp:lastPrinted>2017-09-12T03:58:00Z</cp:lastPrinted>
  <dcterms:created xsi:type="dcterms:W3CDTF">2022-09-28T11:31:00Z</dcterms:created>
  <dcterms:modified xsi:type="dcterms:W3CDTF">2023-02-04T00:09:00Z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ba5ff95dbc49cf42fc0d89754c1ca3f968f58c45a4adc44e5b589acc0e01bd11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709ee60d-c8f3-314e-8ee1-4b6d1e7f951c</vt:lpwstr>
  </property>
  <property fmtid="{D5CDD505-2E9C-101B-9397-08002B2CF9AE}" pid="25" name="Mendeley Citation Style_1">
    <vt:lpwstr>http://www.zotero.org/styles/apa</vt:lpwstr>
  </property>
</Properties>
</file>